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CC" w:rsidRDefault="000572CC" w:rsidP="00E14F9F">
      <w:pPr>
        <w:pStyle w:val="Heading1"/>
      </w:pPr>
      <w:r>
        <w:t>201</w:t>
      </w:r>
      <w:r w:rsidR="00B2217A">
        <w:t>8</w:t>
      </w:r>
      <w:r>
        <w:t xml:space="preserve"> NWAC Task Forces summary</w:t>
      </w:r>
    </w:p>
    <w:p w:rsidR="006D5689" w:rsidRDefault="000572CC">
      <w:r>
        <w:t>Following the review at the NWAC</w:t>
      </w:r>
      <w:r w:rsidR="00114E8A">
        <w:t>P</w:t>
      </w:r>
      <w:r>
        <w:t xml:space="preserve"> summit, email voting, and meetings of the executive committee and leadership, i</w:t>
      </w:r>
      <w:r w:rsidR="006D5689">
        <w:t>t was agreed tha</w:t>
      </w:r>
      <w:r w:rsidR="00972BC0">
        <w:t>t there would be six TFs in 2018</w:t>
      </w:r>
      <w:r w:rsidR="006D5689">
        <w:t xml:space="preserve">: </w:t>
      </w:r>
    </w:p>
    <w:p w:rsidR="003B33E2" w:rsidRDefault="003B33E2" w:rsidP="003B33E2">
      <w:pPr>
        <w:pStyle w:val="Heading2"/>
      </w:pPr>
      <w:r>
        <w:t>2018 Task Forces (details on page 2)</w:t>
      </w:r>
    </w:p>
    <w:p w:rsidR="00B2217A" w:rsidRDefault="00B2217A" w:rsidP="00B2217A">
      <w:pPr>
        <w:pStyle w:val="ListParagraph"/>
        <w:numPr>
          <w:ilvl w:val="0"/>
          <w:numId w:val="2"/>
        </w:numPr>
      </w:pPr>
      <w:r>
        <w:t xml:space="preserve">Water Quality Sampling Plan </w:t>
      </w:r>
    </w:p>
    <w:p w:rsidR="00B2217A" w:rsidRDefault="00C80765" w:rsidP="00B2217A">
      <w:pPr>
        <w:pStyle w:val="ListParagraph"/>
        <w:numPr>
          <w:ilvl w:val="0"/>
          <w:numId w:val="2"/>
        </w:numPr>
      </w:pPr>
      <w:r>
        <w:t>Unmanned Aircraft Systems</w:t>
      </w:r>
    </w:p>
    <w:p w:rsidR="00B2217A" w:rsidRDefault="00B2217A" w:rsidP="00B2217A">
      <w:pPr>
        <w:pStyle w:val="ListParagraph"/>
        <w:numPr>
          <w:ilvl w:val="0"/>
          <w:numId w:val="2"/>
        </w:numPr>
      </w:pPr>
      <w:r>
        <w:t>Tribal Outreach and Technical Training</w:t>
      </w:r>
    </w:p>
    <w:p w:rsidR="00B2217A" w:rsidRDefault="00B2217A" w:rsidP="00B2217A">
      <w:pPr>
        <w:pStyle w:val="ListParagraph"/>
        <w:numPr>
          <w:ilvl w:val="0"/>
          <w:numId w:val="2"/>
        </w:numPr>
      </w:pPr>
      <w:r>
        <w:t>96 Hr Toolkit</w:t>
      </w:r>
    </w:p>
    <w:p w:rsidR="00B2217A" w:rsidRDefault="00B2217A" w:rsidP="00B2217A">
      <w:pPr>
        <w:pStyle w:val="ListParagraph"/>
        <w:numPr>
          <w:ilvl w:val="0"/>
          <w:numId w:val="2"/>
        </w:numPr>
      </w:pPr>
      <w:r>
        <w:t>Fisheries Management</w:t>
      </w:r>
    </w:p>
    <w:p w:rsidR="00B2217A" w:rsidRDefault="00B2217A" w:rsidP="00B2217A">
      <w:pPr>
        <w:pStyle w:val="ListParagraph"/>
        <w:numPr>
          <w:ilvl w:val="0"/>
          <w:numId w:val="2"/>
        </w:numPr>
      </w:pPr>
      <w:r>
        <w:t>Hazardous Materials Risk</w:t>
      </w:r>
    </w:p>
    <w:p w:rsidR="003B33E2" w:rsidRDefault="003B33E2" w:rsidP="003B33E2">
      <w:pPr>
        <w:pStyle w:val="Heading2"/>
      </w:pPr>
      <w:r>
        <w:t>2018 Steering Committee Focus (details on page 3)</w:t>
      </w:r>
    </w:p>
    <w:p w:rsidR="003B33E2" w:rsidRDefault="003B33E2" w:rsidP="003B33E2">
      <w:pPr>
        <w:pStyle w:val="ListParagraph"/>
        <w:numPr>
          <w:ilvl w:val="0"/>
          <w:numId w:val="3"/>
        </w:numPr>
      </w:pPr>
      <w:r>
        <w:t>Social Media Policy</w:t>
      </w:r>
    </w:p>
    <w:p w:rsidR="003B33E2" w:rsidRDefault="003B33E2" w:rsidP="003B33E2">
      <w:pPr>
        <w:pStyle w:val="ListParagraph"/>
        <w:numPr>
          <w:ilvl w:val="0"/>
          <w:numId w:val="3"/>
        </w:numPr>
      </w:pPr>
      <w:r>
        <w:t>Area Plan Accessibility</w:t>
      </w:r>
    </w:p>
    <w:p w:rsidR="003B33E2" w:rsidRDefault="003B33E2" w:rsidP="003B33E2">
      <w:pPr>
        <w:pStyle w:val="ListParagraph"/>
        <w:numPr>
          <w:ilvl w:val="0"/>
          <w:numId w:val="3"/>
        </w:numPr>
      </w:pPr>
      <w:r>
        <w:t>Transboundary Issues</w:t>
      </w:r>
    </w:p>
    <w:p w:rsidR="003B33E2" w:rsidRDefault="003B33E2" w:rsidP="003B33E2">
      <w:pPr>
        <w:pStyle w:val="Heading2"/>
      </w:pPr>
      <w:r>
        <w:t>2017 Summit Ideas that will not be completed (explana</w:t>
      </w:r>
      <w:r w:rsidR="00ED4434">
        <w:t>tion on page 3</w:t>
      </w:r>
      <w:r>
        <w:t>)</w:t>
      </w:r>
    </w:p>
    <w:p w:rsidR="003B33E2" w:rsidRDefault="00E14F9F" w:rsidP="00E14F9F">
      <w:pPr>
        <w:pStyle w:val="ListParagraph"/>
        <w:numPr>
          <w:ilvl w:val="0"/>
          <w:numId w:val="4"/>
        </w:numPr>
      </w:pPr>
      <w:r>
        <w:t>Volunteer Management Plan</w:t>
      </w:r>
    </w:p>
    <w:p w:rsidR="00E14F9F" w:rsidRDefault="00E14F9F" w:rsidP="00E14F9F">
      <w:pPr>
        <w:pStyle w:val="ListParagraph"/>
        <w:numPr>
          <w:ilvl w:val="0"/>
          <w:numId w:val="4"/>
        </w:numPr>
      </w:pPr>
      <w:r>
        <w:t>Dispersants</w:t>
      </w:r>
    </w:p>
    <w:p w:rsidR="00E14F9F" w:rsidRDefault="00E14F9F" w:rsidP="00E14F9F">
      <w:pPr>
        <w:pStyle w:val="ListParagraph"/>
        <w:numPr>
          <w:ilvl w:val="0"/>
          <w:numId w:val="4"/>
        </w:numPr>
      </w:pPr>
      <w:r>
        <w:t>Drill Design</w:t>
      </w:r>
    </w:p>
    <w:p w:rsidR="00E14F9F" w:rsidRDefault="00E14F9F" w:rsidP="00E14F9F">
      <w:pPr>
        <w:pStyle w:val="ListParagraph"/>
        <w:numPr>
          <w:ilvl w:val="0"/>
          <w:numId w:val="4"/>
        </w:numPr>
      </w:pPr>
      <w:r>
        <w:t>ISB Residue</w:t>
      </w:r>
    </w:p>
    <w:p w:rsidR="00E14F9F" w:rsidRDefault="00E14F9F" w:rsidP="00E14F9F">
      <w:pPr>
        <w:pStyle w:val="ListParagraph"/>
        <w:numPr>
          <w:ilvl w:val="0"/>
          <w:numId w:val="4"/>
        </w:numPr>
      </w:pPr>
      <w:r>
        <w:t>Safety Plans and Guidance</w:t>
      </w:r>
    </w:p>
    <w:p w:rsidR="00E14F9F" w:rsidRDefault="00B1318D" w:rsidP="00E14F9F">
      <w:pPr>
        <w:pStyle w:val="ListParagraph"/>
        <w:numPr>
          <w:ilvl w:val="0"/>
          <w:numId w:val="4"/>
        </w:numPr>
      </w:pPr>
      <w:r>
        <w:t>Rail and Pipel</w:t>
      </w:r>
      <w:r w:rsidR="00E14F9F">
        <w:t>ine Response Equipment</w:t>
      </w:r>
    </w:p>
    <w:p w:rsidR="00E14F9F" w:rsidRDefault="00E14F9F" w:rsidP="00E14F9F">
      <w:pPr>
        <w:pStyle w:val="ListParagraph"/>
        <w:numPr>
          <w:ilvl w:val="0"/>
          <w:numId w:val="4"/>
        </w:numPr>
      </w:pPr>
      <w:r>
        <w:t>Update Chapters 8000 and 8100</w:t>
      </w:r>
    </w:p>
    <w:p w:rsidR="00E14F9F" w:rsidRDefault="00E14F9F" w:rsidP="00E14F9F">
      <w:pPr>
        <w:pStyle w:val="ListParagraph"/>
        <w:numPr>
          <w:ilvl w:val="0"/>
          <w:numId w:val="4"/>
        </w:numPr>
      </w:pPr>
      <w:r>
        <w:t>Rail and Pipeline Regulations Review</w:t>
      </w:r>
    </w:p>
    <w:p w:rsidR="006D5689" w:rsidRDefault="006D5689" w:rsidP="006D5689">
      <w:pPr>
        <w:pStyle w:val="ListParagraph"/>
      </w:pPr>
    </w:p>
    <w:p w:rsidR="00C53ED6" w:rsidRDefault="00C53ED6" w:rsidP="006D5689">
      <w:pPr>
        <w:pStyle w:val="ListParagraph"/>
        <w:ind w:left="0"/>
      </w:pPr>
    </w:p>
    <w:p w:rsidR="00C53ED6" w:rsidRDefault="00E14F9F" w:rsidP="006D5689">
      <w:pPr>
        <w:pStyle w:val="ListParagraph"/>
        <w:ind w:left="0"/>
      </w:pPr>
      <w:r>
        <w:t>We will launch the 2018 Task Forces in January, 2018.  We look forward to working together on improving our preparedness!</w:t>
      </w:r>
    </w:p>
    <w:p w:rsidR="000B1FF4" w:rsidRDefault="000E3337" w:rsidP="003B33E2">
      <w:pPr>
        <w:pStyle w:val="Heading1"/>
      </w:pPr>
      <w:r>
        <w:br w:type="page"/>
      </w:r>
      <w:r w:rsidR="00114E8A">
        <w:lastRenderedPageBreak/>
        <w:t>201</w:t>
      </w:r>
      <w:r w:rsidR="003B33E2">
        <w:t>8</w:t>
      </w:r>
      <w:r w:rsidR="00114E8A">
        <w:t xml:space="preserve"> Task Forces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5850"/>
        <w:gridCol w:w="1620"/>
      </w:tblGrid>
      <w:tr w:rsidR="003B33E2" w:rsidRPr="00D82B61" w:rsidTr="003B33E2">
        <w:trPr>
          <w:trHeight w:val="800"/>
          <w:tblHeader/>
        </w:trPr>
        <w:tc>
          <w:tcPr>
            <w:tcW w:w="1800" w:type="dxa"/>
            <w:hideMark/>
          </w:tcPr>
          <w:p w:rsidR="003B33E2" w:rsidRDefault="003B33E2" w:rsidP="000E3337">
            <w:pPr>
              <w:spacing w:after="0" w:line="240" w:lineRule="auto"/>
              <w:rPr>
                <w:b/>
                <w:bCs/>
                <w:sz w:val="20"/>
                <w:szCs w:val="20"/>
              </w:rPr>
            </w:pPr>
            <w:r w:rsidRPr="00D82B61">
              <w:rPr>
                <w:b/>
                <w:bCs/>
                <w:sz w:val="20"/>
                <w:szCs w:val="20"/>
              </w:rPr>
              <w:t>TF Name</w:t>
            </w:r>
            <w:r>
              <w:rPr>
                <w:b/>
                <w:bCs/>
                <w:sz w:val="20"/>
                <w:szCs w:val="20"/>
              </w:rPr>
              <w:t>/</w:t>
            </w:r>
          </w:p>
          <w:p w:rsidR="003B33E2" w:rsidRPr="00D82B61" w:rsidRDefault="003B33E2" w:rsidP="000E3337">
            <w:pPr>
              <w:spacing w:after="0" w:line="240" w:lineRule="auto"/>
              <w:rPr>
                <w:b/>
                <w:bCs/>
                <w:sz w:val="20"/>
                <w:szCs w:val="20"/>
              </w:rPr>
            </w:pPr>
            <w:r>
              <w:rPr>
                <w:b/>
                <w:bCs/>
                <w:sz w:val="20"/>
                <w:szCs w:val="20"/>
              </w:rPr>
              <w:t>Facilitator</w:t>
            </w:r>
          </w:p>
        </w:tc>
        <w:tc>
          <w:tcPr>
            <w:tcW w:w="5850" w:type="dxa"/>
            <w:hideMark/>
          </w:tcPr>
          <w:p w:rsidR="003B33E2" w:rsidRPr="00D82B61" w:rsidRDefault="003B33E2" w:rsidP="000E3337">
            <w:pPr>
              <w:spacing w:after="0" w:line="240" w:lineRule="auto"/>
              <w:rPr>
                <w:b/>
                <w:bCs/>
                <w:sz w:val="20"/>
                <w:szCs w:val="20"/>
              </w:rPr>
            </w:pPr>
            <w:r w:rsidRPr="00D82B61">
              <w:rPr>
                <w:b/>
                <w:bCs/>
                <w:sz w:val="20"/>
                <w:szCs w:val="20"/>
              </w:rPr>
              <w:t>6-month Work Products</w:t>
            </w:r>
          </w:p>
        </w:tc>
        <w:tc>
          <w:tcPr>
            <w:tcW w:w="1620" w:type="dxa"/>
            <w:hideMark/>
          </w:tcPr>
          <w:p w:rsidR="003B33E2" w:rsidRPr="00D82B61" w:rsidRDefault="003B33E2" w:rsidP="000E3337">
            <w:pPr>
              <w:spacing w:after="0" w:line="240" w:lineRule="auto"/>
              <w:rPr>
                <w:b/>
                <w:bCs/>
                <w:sz w:val="20"/>
                <w:szCs w:val="20"/>
              </w:rPr>
            </w:pPr>
            <w:r>
              <w:rPr>
                <w:b/>
                <w:bCs/>
                <w:sz w:val="20"/>
                <w:szCs w:val="20"/>
              </w:rPr>
              <w:t>Members as of 12/19</w:t>
            </w:r>
          </w:p>
        </w:tc>
      </w:tr>
      <w:tr w:rsidR="003B33E2" w:rsidRPr="00D82B61" w:rsidTr="003B33E2">
        <w:trPr>
          <w:trHeight w:val="1520"/>
        </w:trPr>
        <w:tc>
          <w:tcPr>
            <w:tcW w:w="1800" w:type="dxa"/>
            <w:vAlign w:val="center"/>
          </w:tcPr>
          <w:p w:rsidR="003B33E2" w:rsidRPr="00B2217A" w:rsidRDefault="003B33E2" w:rsidP="003B33E2">
            <w:pPr>
              <w:rPr>
                <w:rFonts w:ascii="Calibri" w:hAnsi="Calibri"/>
                <w:b/>
                <w:color w:val="000000"/>
              </w:rPr>
            </w:pPr>
            <w:r w:rsidRPr="00B2217A">
              <w:rPr>
                <w:rFonts w:ascii="Calibri" w:hAnsi="Calibri"/>
                <w:b/>
                <w:color w:val="000000"/>
              </w:rPr>
              <w:t>Water Quality Sampling Plan</w:t>
            </w:r>
          </w:p>
          <w:p w:rsidR="003B33E2" w:rsidRDefault="003B33E2" w:rsidP="003B33E2">
            <w:pPr>
              <w:rPr>
                <w:rFonts w:ascii="Calibri" w:hAnsi="Calibri"/>
                <w:color w:val="000000"/>
              </w:rPr>
            </w:pPr>
            <w:r>
              <w:rPr>
                <w:rFonts w:ascii="Calibri" w:hAnsi="Calibri"/>
                <w:color w:val="000000"/>
              </w:rPr>
              <w:t>Allison O'Brien, DOI</w:t>
            </w:r>
          </w:p>
        </w:tc>
        <w:tc>
          <w:tcPr>
            <w:tcW w:w="585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1. Create a template for a water quality sampling plan to support operations and public safety focusing on the Columbia River. (not NRDA)</w:t>
            </w:r>
            <w:r>
              <w:rPr>
                <w:rFonts w:ascii="Calibri" w:hAnsi="Calibri"/>
                <w:color w:val="000000"/>
                <w:sz w:val="20"/>
                <w:szCs w:val="20"/>
              </w:rPr>
              <w:br/>
              <w:t>2. Define the action levels for the various receptors (e.g., salmon, humans, etc).</w:t>
            </w:r>
          </w:p>
        </w:tc>
        <w:tc>
          <w:tcPr>
            <w:tcW w:w="162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ODEQ, Ecology, DOI, EPA, CG SCR</w:t>
            </w:r>
          </w:p>
        </w:tc>
      </w:tr>
      <w:tr w:rsidR="003B33E2" w:rsidRPr="00D82B61" w:rsidTr="003B33E2">
        <w:trPr>
          <w:trHeight w:val="2060"/>
        </w:trPr>
        <w:tc>
          <w:tcPr>
            <w:tcW w:w="1800" w:type="dxa"/>
            <w:vAlign w:val="center"/>
          </w:tcPr>
          <w:p w:rsidR="003B33E2" w:rsidRPr="00B2217A" w:rsidRDefault="00C80765" w:rsidP="003B33E2">
            <w:pPr>
              <w:rPr>
                <w:rFonts w:ascii="Calibri" w:hAnsi="Calibri"/>
                <w:b/>
                <w:color w:val="000000"/>
              </w:rPr>
            </w:pPr>
            <w:r>
              <w:rPr>
                <w:rFonts w:ascii="Calibri" w:hAnsi="Calibri"/>
                <w:b/>
                <w:color w:val="000000"/>
              </w:rPr>
              <w:t>Unmanned Aircraft Systems</w:t>
            </w:r>
            <w:bookmarkStart w:id="0" w:name="_GoBack"/>
            <w:bookmarkEnd w:id="0"/>
          </w:p>
          <w:p w:rsidR="003B33E2" w:rsidRDefault="003B33E2" w:rsidP="003B33E2">
            <w:pPr>
              <w:rPr>
                <w:rFonts w:ascii="Calibri" w:hAnsi="Calibri"/>
                <w:color w:val="000000"/>
              </w:rPr>
            </w:pPr>
            <w:r>
              <w:rPr>
                <w:rFonts w:ascii="Calibri" w:hAnsi="Calibri"/>
                <w:color w:val="000000"/>
              </w:rPr>
              <w:t>Drew Madjeska, CG SCR</w:t>
            </w:r>
          </w:p>
        </w:tc>
        <w:tc>
          <w:tcPr>
            <w:tcW w:w="585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 xml:space="preserve">1. Gather drone use policies and drone capabilities in the region for agencies and industry partners. </w:t>
            </w:r>
            <w:r>
              <w:rPr>
                <w:rFonts w:ascii="Calibri" w:hAnsi="Calibri"/>
                <w:color w:val="000000"/>
                <w:sz w:val="20"/>
                <w:szCs w:val="20"/>
              </w:rPr>
              <w:br/>
              <w:t>2. Create a whitepaper that summarizes the information gathered comparing the various policies.</w:t>
            </w:r>
            <w:r>
              <w:rPr>
                <w:rFonts w:ascii="Calibri" w:hAnsi="Calibri"/>
                <w:color w:val="000000"/>
                <w:sz w:val="20"/>
                <w:szCs w:val="20"/>
              </w:rPr>
              <w:br/>
              <w:t>3. Provide clear direction on the process to restrict air space and create public messaging templates.</w:t>
            </w:r>
            <w:r>
              <w:rPr>
                <w:rFonts w:ascii="Calibri" w:hAnsi="Calibri"/>
                <w:color w:val="000000"/>
                <w:sz w:val="20"/>
                <w:szCs w:val="20"/>
              </w:rPr>
              <w:br/>
              <w:t>4. Add known resources to the WRRL for agencies and OSROs.</w:t>
            </w:r>
          </w:p>
        </w:tc>
        <w:tc>
          <w:tcPr>
            <w:tcW w:w="162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ODEQ, USFS, NOAA, Ecology, CG SPS, EPA, CG SCR</w:t>
            </w:r>
          </w:p>
        </w:tc>
      </w:tr>
      <w:tr w:rsidR="003B33E2" w:rsidRPr="00D82B61" w:rsidTr="003B33E2">
        <w:trPr>
          <w:trHeight w:val="1970"/>
        </w:trPr>
        <w:tc>
          <w:tcPr>
            <w:tcW w:w="1800" w:type="dxa"/>
            <w:vAlign w:val="center"/>
          </w:tcPr>
          <w:p w:rsidR="003B33E2" w:rsidRPr="00B2217A" w:rsidRDefault="003B33E2" w:rsidP="003B33E2">
            <w:pPr>
              <w:rPr>
                <w:rFonts w:ascii="Calibri" w:hAnsi="Calibri"/>
                <w:b/>
                <w:color w:val="000000"/>
              </w:rPr>
            </w:pPr>
            <w:r w:rsidRPr="00B2217A">
              <w:rPr>
                <w:rFonts w:ascii="Calibri" w:hAnsi="Calibri"/>
                <w:b/>
                <w:color w:val="000000"/>
              </w:rPr>
              <w:t>Tribal Outreach and Technical Training</w:t>
            </w:r>
          </w:p>
          <w:p w:rsidR="003B33E2" w:rsidRDefault="003B33E2" w:rsidP="003B33E2">
            <w:pPr>
              <w:rPr>
                <w:rFonts w:ascii="Calibri" w:hAnsi="Calibri"/>
                <w:color w:val="000000"/>
              </w:rPr>
            </w:pPr>
            <w:r>
              <w:rPr>
                <w:rFonts w:ascii="Calibri" w:hAnsi="Calibri"/>
                <w:color w:val="000000"/>
              </w:rPr>
              <w:t>Brian Milchak, DOI</w:t>
            </w:r>
          </w:p>
        </w:tc>
        <w:tc>
          <w:tcPr>
            <w:tcW w:w="585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 xml:space="preserve">1. Flesh out training plan - outreach + exercise strategy - identify training and exercise opportunities for tribes and include representatives in design process - including materials (e.g., maybe a self study guide) </w:t>
            </w:r>
            <w:r>
              <w:rPr>
                <w:rFonts w:ascii="Calibri" w:hAnsi="Calibri"/>
                <w:color w:val="000000"/>
                <w:sz w:val="20"/>
                <w:szCs w:val="20"/>
              </w:rPr>
              <w:br/>
              <w:t xml:space="preserve">2. Distribute document w/ resources available to tribes </w:t>
            </w:r>
            <w:r>
              <w:rPr>
                <w:rFonts w:ascii="Calibri" w:hAnsi="Calibri"/>
                <w:color w:val="000000"/>
                <w:sz w:val="20"/>
                <w:szCs w:val="20"/>
              </w:rPr>
              <w:br/>
              <w:t>3. Reconcile and maintain tribal contact list.</w:t>
            </w:r>
            <w:r>
              <w:rPr>
                <w:rFonts w:ascii="Calibri" w:hAnsi="Calibri"/>
                <w:color w:val="000000"/>
                <w:sz w:val="20"/>
                <w:szCs w:val="20"/>
              </w:rPr>
              <w:br/>
              <w:t>4. start IDing training levels and TCS candidates.</w:t>
            </w:r>
          </w:p>
        </w:tc>
        <w:tc>
          <w:tcPr>
            <w:tcW w:w="162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ODEQ, Ecology, CG SPS, DOI, EPA, CG SCR</w:t>
            </w:r>
          </w:p>
        </w:tc>
      </w:tr>
      <w:tr w:rsidR="003B33E2" w:rsidRPr="00D82B61" w:rsidTr="003B33E2">
        <w:trPr>
          <w:trHeight w:val="1763"/>
        </w:trPr>
        <w:tc>
          <w:tcPr>
            <w:tcW w:w="1800" w:type="dxa"/>
            <w:vAlign w:val="center"/>
          </w:tcPr>
          <w:p w:rsidR="003B33E2" w:rsidRPr="00B2217A" w:rsidRDefault="003B33E2" w:rsidP="003B33E2">
            <w:pPr>
              <w:rPr>
                <w:rFonts w:ascii="Calibri" w:hAnsi="Calibri"/>
                <w:b/>
                <w:color w:val="000000"/>
              </w:rPr>
            </w:pPr>
            <w:r w:rsidRPr="00B2217A">
              <w:rPr>
                <w:rFonts w:ascii="Calibri" w:hAnsi="Calibri"/>
                <w:b/>
                <w:color w:val="000000"/>
              </w:rPr>
              <w:t>96 Hour Tool Kit</w:t>
            </w:r>
          </w:p>
          <w:p w:rsidR="003B33E2" w:rsidRDefault="003B33E2" w:rsidP="003B33E2">
            <w:pPr>
              <w:rPr>
                <w:rFonts w:ascii="Calibri" w:hAnsi="Calibri"/>
                <w:color w:val="000000"/>
              </w:rPr>
            </w:pPr>
            <w:r>
              <w:rPr>
                <w:rFonts w:ascii="Calibri" w:hAnsi="Calibri"/>
                <w:color w:val="000000"/>
              </w:rPr>
              <w:t xml:space="preserve"> Brandon Todd, CG SPS</w:t>
            </w:r>
          </w:p>
        </w:tc>
        <w:tc>
          <w:tcPr>
            <w:tcW w:w="585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1. Identify location for storage (create place on NWAC website for access)</w:t>
            </w:r>
            <w:r>
              <w:rPr>
                <w:rFonts w:ascii="Calibri" w:hAnsi="Calibri"/>
                <w:color w:val="000000"/>
                <w:sz w:val="20"/>
                <w:szCs w:val="20"/>
              </w:rPr>
              <w:br/>
              <w:t>2. Review to-do list and prioritize items to be completed or gathered</w:t>
            </w:r>
            <w:r>
              <w:rPr>
                <w:rFonts w:ascii="Calibri" w:hAnsi="Calibri"/>
                <w:color w:val="000000"/>
                <w:sz w:val="20"/>
                <w:szCs w:val="20"/>
              </w:rPr>
              <w:br/>
              <w:t>a. Data call to group</w:t>
            </w:r>
            <w:r>
              <w:rPr>
                <w:rFonts w:ascii="Calibri" w:hAnsi="Calibri"/>
                <w:color w:val="000000"/>
                <w:sz w:val="20"/>
                <w:szCs w:val="20"/>
              </w:rPr>
              <w:br/>
              <w:t>3. Create content for those priority items.</w:t>
            </w:r>
            <w:r>
              <w:rPr>
                <w:rFonts w:ascii="Calibri" w:hAnsi="Calibri"/>
                <w:color w:val="000000"/>
                <w:sz w:val="20"/>
                <w:szCs w:val="20"/>
              </w:rPr>
              <w:br/>
              <w:t>4. Determine on-going stewardship.</w:t>
            </w:r>
          </w:p>
        </w:tc>
        <w:tc>
          <w:tcPr>
            <w:tcW w:w="1620" w:type="dxa"/>
            <w:vAlign w:val="center"/>
          </w:tcPr>
          <w:p w:rsidR="003B33E2" w:rsidRDefault="003B33E2" w:rsidP="003B33E2">
            <w:pPr>
              <w:rPr>
                <w:rFonts w:ascii="Calibri" w:hAnsi="Calibri"/>
                <w:color w:val="000000"/>
                <w:sz w:val="20"/>
                <w:szCs w:val="20"/>
              </w:rPr>
            </w:pPr>
            <w:r>
              <w:rPr>
                <w:rFonts w:ascii="Calibri" w:hAnsi="Calibri"/>
                <w:color w:val="000000"/>
                <w:sz w:val="20"/>
                <w:szCs w:val="20"/>
              </w:rPr>
              <w:t>ODEQ, Ecology, SC SPS, EPA</w:t>
            </w:r>
          </w:p>
        </w:tc>
      </w:tr>
      <w:tr w:rsidR="003B33E2" w:rsidRPr="00D82B61" w:rsidTr="003B33E2">
        <w:trPr>
          <w:trHeight w:val="1331"/>
        </w:trPr>
        <w:tc>
          <w:tcPr>
            <w:tcW w:w="1800" w:type="dxa"/>
            <w:vAlign w:val="center"/>
          </w:tcPr>
          <w:p w:rsidR="003B33E2" w:rsidRPr="00B2217A" w:rsidRDefault="003B33E2" w:rsidP="00B2217A">
            <w:pPr>
              <w:rPr>
                <w:rFonts w:ascii="Calibri" w:hAnsi="Calibri"/>
                <w:b/>
                <w:color w:val="000000"/>
              </w:rPr>
            </w:pPr>
            <w:r w:rsidRPr="00B2217A">
              <w:rPr>
                <w:rFonts w:ascii="Calibri" w:hAnsi="Calibri"/>
                <w:b/>
                <w:color w:val="000000"/>
              </w:rPr>
              <w:t>Fisheries Management</w:t>
            </w:r>
          </w:p>
          <w:p w:rsidR="003B33E2" w:rsidRDefault="003B33E2" w:rsidP="00B2217A">
            <w:pPr>
              <w:rPr>
                <w:rFonts w:ascii="Calibri" w:hAnsi="Calibri"/>
                <w:color w:val="000000"/>
              </w:rPr>
            </w:pPr>
            <w:r>
              <w:rPr>
                <w:rFonts w:ascii="Calibri" w:hAnsi="Calibri"/>
                <w:color w:val="000000"/>
              </w:rPr>
              <w:t xml:space="preserve">Elizabeth Petras, CG D-13 </w:t>
            </w:r>
          </w:p>
        </w:tc>
        <w:tc>
          <w:tcPr>
            <w:tcW w:w="5850" w:type="dxa"/>
            <w:vAlign w:val="center"/>
          </w:tcPr>
          <w:p w:rsidR="003B33E2" w:rsidRDefault="003B33E2" w:rsidP="00B2217A">
            <w:pPr>
              <w:rPr>
                <w:rFonts w:ascii="Calibri" w:hAnsi="Calibri"/>
                <w:color w:val="000000"/>
                <w:sz w:val="20"/>
                <w:szCs w:val="20"/>
              </w:rPr>
            </w:pPr>
            <w:r>
              <w:rPr>
                <w:rFonts w:ascii="Calibri" w:hAnsi="Calibri"/>
                <w:color w:val="000000"/>
                <w:sz w:val="20"/>
                <w:szCs w:val="20"/>
              </w:rPr>
              <w:t>1. Determine which agencies have the authority over tribal, commercial, and recreational fisheries closures.</w:t>
            </w:r>
            <w:r>
              <w:rPr>
                <w:rFonts w:ascii="Calibri" w:hAnsi="Calibri"/>
                <w:color w:val="000000"/>
                <w:sz w:val="20"/>
                <w:szCs w:val="20"/>
              </w:rPr>
              <w:br/>
              <w:t>2. Develop contact lists and checklists and suggest where in the ICS the issue is worked.</w:t>
            </w:r>
            <w:r>
              <w:rPr>
                <w:rFonts w:ascii="Calibri" w:hAnsi="Calibri"/>
                <w:color w:val="000000"/>
                <w:sz w:val="20"/>
                <w:szCs w:val="20"/>
              </w:rPr>
              <w:br/>
              <w:t>3. Update Section 9309 to expand beyond the scope of shellfish.</w:t>
            </w:r>
          </w:p>
        </w:tc>
        <w:tc>
          <w:tcPr>
            <w:tcW w:w="1620" w:type="dxa"/>
          </w:tcPr>
          <w:p w:rsidR="00ED4434" w:rsidRDefault="00ED4434" w:rsidP="00ED4434">
            <w:pPr>
              <w:rPr>
                <w:rFonts w:ascii="Calibri" w:hAnsi="Calibri"/>
                <w:color w:val="000000"/>
                <w:sz w:val="20"/>
                <w:szCs w:val="20"/>
              </w:rPr>
            </w:pPr>
            <w:r>
              <w:rPr>
                <w:rFonts w:ascii="Calibri" w:hAnsi="Calibri"/>
                <w:color w:val="000000"/>
                <w:sz w:val="20"/>
                <w:szCs w:val="20"/>
              </w:rPr>
              <w:t>Ecology, CG SPS, CG SCR</w:t>
            </w:r>
          </w:p>
          <w:p w:rsidR="003B33E2" w:rsidRPr="00D82B61" w:rsidRDefault="003B33E2" w:rsidP="00B2217A">
            <w:pPr>
              <w:spacing w:after="0" w:line="240" w:lineRule="auto"/>
              <w:rPr>
                <w:sz w:val="20"/>
                <w:szCs w:val="20"/>
              </w:rPr>
            </w:pPr>
          </w:p>
        </w:tc>
      </w:tr>
      <w:tr w:rsidR="003B33E2" w:rsidRPr="00D82B61" w:rsidTr="00F02860">
        <w:trPr>
          <w:trHeight w:val="1493"/>
        </w:trPr>
        <w:tc>
          <w:tcPr>
            <w:tcW w:w="1800" w:type="dxa"/>
            <w:vAlign w:val="center"/>
          </w:tcPr>
          <w:p w:rsidR="003B33E2" w:rsidRPr="00B2217A" w:rsidRDefault="003B33E2" w:rsidP="00B2217A">
            <w:pPr>
              <w:rPr>
                <w:rFonts w:ascii="Calibri" w:hAnsi="Calibri"/>
                <w:b/>
                <w:color w:val="000000"/>
              </w:rPr>
            </w:pPr>
            <w:r w:rsidRPr="00B2217A">
              <w:rPr>
                <w:rFonts w:ascii="Calibri" w:hAnsi="Calibri"/>
                <w:b/>
                <w:color w:val="000000"/>
              </w:rPr>
              <w:t>Hazardous Materials Risk</w:t>
            </w:r>
          </w:p>
          <w:p w:rsidR="003B33E2" w:rsidRDefault="00F02860" w:rsidP="00B2217A">
            <w:pPr>
              <w:rPr>
                <w:rFonts w:ascii="Calibri" w:hAnsi="Calibri"/>
                <w:color w:val="000000"/>
              </w:rPr>
            </w:pPr>
            <w:r>
              <w:rPr>
                <w:rFonts w:ascii="Calibri" w:hAnsi="Calibri"/>
                <w:color w:val="000000"/>
              </w:rPr>
              <w:t>TBD</w:t>
            </w:r>
          </w:p>
        </w:tc>
        <w:tc>
          <w:tcPr>
            <w:tcW w:w="5850" w:type="dxa"/>
            <w:vAlign w:val="center"/>
          </w:tcPr>
          <w:p w:rsidR="00F02860" w:rsidRDefault="00F02860" w:rsidP="00F02860">
            <w:r>
              <w:rPr>
                <w:color w:val="000000"/>
                <w:sz w:val="20"/>
                <w:szCs w:val="20"/>
              </w:rPr>
              <w:t>1. Determine the top 5 types of hazardous materials that move through the region.  Gather relevant resources and links for these hazards based on category (DOT classes, sink or float).</w:t>
            </w:r>
            <w:r>
              <w:rPr>
                <w:color w:val="000000"/>
                <w:sz w:val="20"/>
                <w:szCs w:val="20"/>
              </w:rPr>
              <w:br w:type="page"/>
            </w:r>
          </w:p>
          <w:p w:rsidR="003B33E2" w:rsidRDefault="00F02860" w:rsidP="00F02860">
            <w:pPr>
              <w:rPr>
                <w:rFonts w:ascii="Calibri" w:hAnsi="Calibri"/>
                <w:color w:val="000000"/>
                <w:sz w:val="20"/>
                <w:szCs w:val="20"/>
              </w:rPr>
            </w:pPr>
            <w:r>
              <w:rPr>
                <w:rFonts w:eastAsia="Times New Roman"/>
                <w:color w:val="000000"/>
                <w:sz w:val="20"/>
                <w:szCs w:val="20"/>
              </w:rPr>
              <w:br w:type="page"/>
            </w:r>
            <w:r>
              <w:rPr>
                <w:color w:val="000000"/>
                <w:sz w:val="20"/>
                <w:szCs w:val="20"/>
              </w:rPr>
              <w:t>2. Connect with LEPCs to assess the status of potential planning gaps.</w:t>
            </w:r>
          </w:p>
        </w:tc>
        <w:tc>
          <w:tcPr>
            <w:tcW w:w="1620" w:type="dxa"/>
          </w:tcPr>
          <w:p w:rsidR="00ED4434" w:rsidRDefault="00ED4434" w:rsidP="00ED4434">
            <w:pPr>
              <w:rPr>
                <w:rFonts w:ascii="Calibri" w:hAnsi="Calibri"/>
                <w:color w:val="000000"/>
                <w:sz w:val="20"/>
                <w:szCs w:val="20"/>
              </w:rPr>
            </w:pPr>
            <w:r>
              <w:rPr>
                <w:rFonts w:ascii="Calibri" w:hAnsi="Calibri"/>
                <w:color w:val="000000"/>
                <w:sz w:val="20"/>
                <w:szCs w:val="20"/>
              </w:rPr>
              <w:t>Ecology, EPA,</w:t>
            </w:r>
            <w:r w:rsidR="00B07369">
              <w:rPr>
                <w:rFonts w:ascii="Calibri" w:hAnsi="Calibri"/>
                <w:color w:val="000000"/>
                <w:sz w:val="20"/>
                <w:szCs w:val="20"/>
              </w:rPr>
              <w:t xml:space="preserve"> OSFM,</w:t>
            </w:r>
            <w:r>
              <w:rPr>
                <w:rFonts w:ascii="Calibri" w:hAnsi="Calibri"/>
                <w:color w:val="000000"/>
                <w:sz w:val="20"/>
                <w:szCs w:val="20"/>
              </w:rPr>
              <w:t xml:space="preserve"> BNSF</w:t>
            </w:r>
          </w:p>
          <w:p w:rsidR="003B33E2" w:rsidRPr="00D82B61" w:rsidRDefault="003B33E2" w:rsidP="00B2217A">
            <w:pPr>
              <w:spacing w:after="0" w:line="240" w:lineRule="auto"/>
              <w:rPr>
                <w:sz w:val="20"/>
                <w:szCs w:val="20"/>
              </w:rPr>
            </w:pPr>
          </w:p>
        </w:tc>
      </w:tr>
    </w:tbl>
    <w:p w:rsidR="00114E8A" w:rsidRDefault="00114E8A" w:rsidP="006D5689">
      <w:pPr>
        <w:pStyle w:val="ListParagraph"/>
        <w:ind w:left="0"/>
        <w:rPr>
          <w:b/>
        </w:rPr>
      </w:pPr>
    </w:p>
    <w:p w:rsidR="003B33E2" w:rsidRDefault="003B33E2">
      <w:pPr>
        <w:rPr>
          <w:b/>
        </w:rPr>
      </w:pPr>
      <w:r>
        <w:rPr>
          <w:b/>
        </w:rPr>
        <w:br w:type="page"/>
      </w:r>
    </w:p>
    <w:p w:rsidR="006D5689" w:rsidRDefault="003B33E2" w:rsidP="00ED4434">
      <w:pPr>
        <w:pStyle w:val="Heading2"/>
      </w:pPr>
      <w:r>
        <w:t>Work that will be left with Steering Committee</w:t>
      </w:r>
    </w:p>
    <w:tbl>
      <w:tblPr>
        <w:tblStyle w:val="TableGrid"/>
        <w:tblW w:w="0" w:type="auto"/>
        <w:tblLook w:val="04A0" w:firstRow="1" w:lastRow="0" w:firstColumn="1" w:lastColumn="0" w:noHBand="0" w:noVBand="1"/>
      </w:tblPr>
      <w:tblGrid>
        <w:gridCol w:w="1885"/>
        <w:gridCol w:w="4348"/>
        <w:gridCol w:w="3117"/>
      </w:tblGrid>
      <w:tr w:rsidR="003B33E2" w:rsidTr="003B33E2">
        <w:tc>
          <w:tcPr>
            <w:tcW w:w="1885" w:type="dxa"/>
          </w:tcPr>
          <w:p w:rsidR="003B33E2" w:rsidRDefault="003B33E2" w:rsidP="006D5689">
            <w:pPr>
              <w:pStyle w:val="ListParagraph"/>
              <w:ind w:left="0"/>
              <w:rPr>
                <w:b/>
              </w:rPr>
            </w:pPr>
            <w:r>
              <w:rPr>
                <w:b/>
              </w:rPr>
              <w:t>TF Name</w:t>
            </w:r>
          </w:p>
        </w:tc>
        <w:tc>
          <w:tcPr>
            <w:tcW w:w="4348" w:type="dxa"/>
          </w:tcPr>
          <w:p w:rsidR="003B33E2" w:rsidRDefault="003B33E2" w:rsidP="006D5689">
            <w:pPr>
              <w:pStyle w:val="ListParagraph"/>
              <w:ind w:left="0"/>
              <w:rPr>
                <w:b/>
              </w:rPr>
            </w:pPr>
            <w:r>
              <w:rPr>
                <w:b/>
              </w:rPr>
              <w:t>Work Products</w:t>
            </w:r>
          </w:p>
        </w:tc>
        <w:tc>
          <w:tcPr>
            <w:tcW w:w="3117" w:type="dxa"/>
          </w:tcPr>
          <w:p w:rsidR="003B33E2" w:rsidRDefault="003B33E2" w:rsidP="006D5689">
            <w:pPr>
              <w:pStyle w:val="ListParagraph"/>
              <w:ind w:left="0"/>
              <w:rPr>
                <w:b/>
              </w:rPr>
            </w:pPr>
            <w:r>
              <w:rPr>
                <w:b/>
              </w:rPr>
              <w:t>Comments</w:t>
            </w:r>
          </w:p>
        </w:tc>
      </w:tr>
      <w:tr w:rsidR="003B33E2" w:rsidTr="003B33E2">
        <w:tc>
          <w:tcPr>
            <w:tcW w:w="1885" w:type="dxa"/>
          </w:tcPr>
          <w:p w:rsidR="003B33E2" w:rsidRPr="003B33E2" w:rsidRDefault="003B33E2" w:rsidP="003B33E2">
            <w:pPr>
              <w:rPr>
                <w:b/>
              </w:rPr>
            </w:pPr>
            <w:r w:rsidRPr="003B33E2">
              <w:rPr>
                <w:b/>
              </w:rPr>
              <w:t>Social Media Policy</w:t>
            </w:r>
          </w:p>
        </w:tc>
        <w:tc>
          <w:tcPr>
            <w:tcW w:w="4348" w:type="dxa"/>
          </w:tcPr>
          <w:p w:rsidR="003B33E2" w:rsidRPr="003B33E2" w:rsidRDefault="003B33E2" w:rsidP="003B33E2">
            <w:pPr>
              <w:rPr>
                <w:rFonts w:ascii="Calibri" w:hAnsi="Calibri"/>
                <w:color w:val="000000"/>
                <w:sz w:val="20"/>
                <w:szCs w:val="20"/>
              </w:rPr>
            </w:pPr>
            <w:r>
              <w:rPr>
                <w:rFonts w:ascii="Calibri" w:hAnsi="Calibri"/>
                <w:color w:val="000000"/>
                <w:sz w:val="20"/>
                <w:szCs w:val="20"/>
              </w:rPr>
              <w:t>1. Expand/clarify/specify social media usage for response personnel.</w:t>
            </w:r>
            <w:r>
              <w:rPr>
                <w:rFonts w:ascii="Calibri" w:hAnsi="Calibri"/>
                <w:color w:val="000000"/>
                <w:sz w:val="20"/>
                <w:szCs w:val="20"/>
              </w:rPr>
              <w:br/>
              <w:t>2. Include platform usage creation - how to create blogs, YouTube, Facebook, Twitter, etc.</w:t>
            </w:r>
            <w:r>
              <w:rPr>
                <w:rFonts w:ascii="Calibri" w:hAnsi="Calibri"/>
                <w:color w:val="000000"/>
                <w:sz w:val="20"/>
                <w:szCs w:val="20"/>
              </w:rPr>
              <w:br/>
              <w:t>3. Identify web platforms available for social media and public information.</w:t>
            </w:r>
          </w:p>
        </w:tc>
        <w:tc>
          <w:tcPr>
            <w:tcW w:w="3117" w:type="dxa"/>
          </w:tcPr>
          <w:p w:rsidR="003B33E2" w:rsidRDefault="003B33E2" w:rsidP="003B33E2">
            <w:pPr>
              <w:pStyle w:val="ListParagraph"/>
              <w:ind w:left="0"/>
              <w:rPr>
                <w:b/>
              </w:rPr>
            </w:pPr>
            <w:r w:rsidRPr="003B33E2">
              <w:rPr>
                <w:rFonts w:ascii="Calibri" w:hAnsi="Calibri"/>
                <w:color w:val="000000"/>
                <w:sz w:val="20"/>
                <w:szCs w:val="20"/>
              </w:rPr>
              <w:t>The intention is to have the NWACP signatories create a draft social media policy, then share it at the 2018PIO/LNO Workshop for feedback.</w:t>
            </w:r>
          </w:p>
        </w:tc>
      </w:tr>
      <w:tr w:rsidR="003B33E2" w:rsidTr="003B33E2">
        <w:tc>
          <w:tcPr>
            <w:tcW w:w="1885" w:type="dxa"/>
          </w:tcPr>
          <w:p w:rsidR="003B33E2" w:rsidRPr="003B33E2" w:rsidRDefault="003B33E2" w:rsidP="003B33E2">
            <w:pPr>
              <w:rPr>
                <w:b/>
              </w:rPr>
            </w:pPr>
            <w:r w:rsidRPr="003B33E2">
              <w:rPr>
                <w:b/>
              </w:rPr>
              <w:t>Area Plan Accessibility</w:t>
            </w:r>
          </w:p>
        </w:tc>
        <w:tc>
          <w:tcPr>
            <w:tcW w:w="4348" w:type="dxa"/>
          </w:tcPr>
          <w:p w:rsidR="003B33E2" w:rsidRPr="003B33E2" w:rsidRDefault="003B33E2" w:rsidP="003B33E2">
            <w:pPr>
              <w:rPr>
                <w:rFonts w:ascii="Calibri" w:hAnsi="Calibri"/>
                <w:color w:val="000000"/>
                <w:sz w:val="20"/>
                <w:szCs w:val="20"/>
              </w:rPr>
            </w:pPr>
            <w:r>
              <w:rPr>
                <w:rFonts w:ascii="Calibri" w:hAnsi="Calibri"/>
                <w:color w:val="000000"/>
                <w:sz w:val="20"/>
                <w:szCs w:val="20"/>
              </w:rPr>
              <w:t>1. Research whether other regions have formats that are viewable as an app or handheld device.</w:t>
            </w:r>
            <w:r>
              <w:rPr>
                <w:rFonts w:ascii="Calibri" w:hAnsi="Calibri"/>
                <w:color w:val="000000"/>
                <w:sz w:val="20"/>
                <w:szCs w:val="20"/>
              </w:rPr>
              <w:br/>
              <w:t>2. Conduct "Benchmarking study" to look at what it would take including cost/benefit.</w:t>
            </w:r>
          </w:p>
        </w:tc>
        <w:tc>
          <w:tcPr>
            <w:tcW w:w="3117" w:type="dxa"/>
          </w:tcPr>
          <w:p w:rsidR="003B33E2" w:rsidRDefault="003B33E2" w:rsidP="003B33E2">
            <w:pPr>
              <w:pStyle w:val="ListParagraph"/>
              <w:ind w:left="0"/>
              <w:rPr>
                <w:b/>
              </w:rPr>
            </w:pPr>
          </w:p>
        </w:tc>
      </w:tr>
      <w:tr w:rsidR="003B33E2" w:rsidTr="003B33E2">
        <w:tc>
          <w:tcPr>
            <w:tcW w:w="1885" w:type="dxa"/>
          </w:tcPr>
          <w:p w:rsidR="003B33E2" w:rsidRPr="003B33E2" w:rsidRDefault="003B33E2" w:rsidP="003B33E2">
            <w:pPr>
              <w:rPr>
                <w:b/>
              </w:rPr>
            </w:pPr>
            <w:r w:rsidRPr="003B33E2">
              <w:rPr>
                <w:b/>
              </w:rPr>
              <w:t>Transboundary Issues</w:t>
            </w:r>
          </w:p>
        </w:tc>
        <w:tc>
          <w:tcPr>
            <w:tcW w:w="4348" w:type="dxa"/>
          </w:tcPr>
          <w:p w:rsidR="003B33E2" w:rsidRPr="003B33E2" w:rsidRDefault="003B33E2" w:rsidP="003B33E2">
            <w:pPr>
              <w:rPr>
                <w:rFonts w:ascii="Calibri" w:hAnsi="Calibri"/>
                <w:color w:val="000000"/>
                <w:sz w:val="20"/>
                <w:szCs w:val="20"/>
              </w:rPr>
            </w:pPr>
            <w:r w:rsidRPr="003B33E2">
              <w:rPr>
                <w:rFonts w:ascii="Calibri" w:hAnsi="Calibri"/>
                <w:color w:val="000000"/>
                <w:sz w:val="20"/>
                <w:szCs w:val="20"/>
              </w:rPr>
              <w:t>1. Review BC/States Task Force recommendations and determine if there are items that can be implemented into the NWACP.</w:t>
            </w:r>
          </w:p>
          <w:p w:rsidR="003B33E2" w:rsidRPr="003B33E2" w:rsidRDefault="003B33E2" w:rsidP="003B33E2">
            <w:pPr>
              <w:pStyle w:val="ListParagraph"/>
              <w:ind w:left="0"/>
              <w:rPr>
                <w:rFonts w:ascii="Calibri" w:hAnsi="Calibri"/>
                <w:color w:val="000000"/>
                <w:sz w:val="20"/>
                <w:szCs w:val="20"/>
              </w:rPr>
            </w:pPr>
            <w:r w:rsidRPr="003B33E2">
              <w:rPr>
                <w:rFonts w:ascii="Calibri" w:hAnsi="Calibri"/>
                <w:color w:val="000000"/>
                <w:sz w:val="20"/>
                <w:szCs w:val="20"/>
              </w:rPr>
              <w:t>2. Provide better awareness to NWAC of transboundary planning efforts within the JRT process.</w:t>
            </w:r>
          </w:p>
        </w:tc>
        <w:tc>
          <w:tcPr>
            <w:tcW w:w="3117" w:type="dxa"/>
          </w:tcPr>
          <w:p w:rsidR="003B33E2" w:rsidRPr="003B33E2" w:rsidRDefault="003B33E2" w:rsidP="003B33E2">
            <w:pPr>
              <w:pStyle w:val="ListParagraph"/>
              <w:ind w:left="0"/>
              <w:rPr>
                <w:rFonts w:ascii="Calibri" w:hAnsi="Calibri"/>
                <w:color w:val="000000"/>
                <w:sz w:val="20"/>
                <w:szCs w:val="20"/>
              </w:rPr>
            </w:pPr>
            <w:r w:rsidRPr="003B33E2">
              <w:rPr>
                <w:rFonts w:ascii="Calibri" w:hAnsi="Calibri"/>
                <w:color w:val="000000"/>
                <w:sz w:val="20"/>
                <w:szCs w:val="20"/>
              </w:rPr>
              <w:t>1. The steering committee will review the recommendations and consider needed action.</w:t>
            </w:r>
          </w:p>
          <w:p w:rsidR="003B33E2" w:rsidRPr="003B33E2" w:rsidRDefault="003B33E2" w:rsidP="003B33E2">
            <w:pPr>
              <w:pStyle w:val="ListParagraph"/>
              <w:ind w:left="0"/>
              <w:rPr>
                <w:rFonts w:ascii="Calibri" w:hAnsi="Calibri"/>
                <w:color w:val="000000"/>
                <w:sz w:val="20"/>
                <w:szCs w:val="20"/>
              </w:rPr>
            </w:pPr>
            <w:r w:rsidRPr="003B33E2">
              <w:rPr>
                <w:rFonts w:ascii="Calibri" w:hAnsi="Calibri"/>
                <w:color w:val="000000"/>
                <w:sz w:val="20"/>
                <w:szCs w:val="20"/>
              </w:rPr>
              <w:t>2. Elizabeth Petras (JRT Coordinator) will brief out on 2018 JRT Exercise and plans at NWAC meetings.</w:t>
            </w:r>
          </w:p>
        </w:tc>
      </w:tr>
    </w:tbl>
    <w:p w:rsidR="003B33E2" w:rsidRPr="0012786F" w:rsidRDefault="003B33E2" w:rsidP="006D5689">
      <w:pPr>
        <w:pStyle w:val="ListParagraph"/>
        <w:ind w:left="0"/>
        <w:rPr>
          <w:b/>
        </w:rPr>
      </w:pPr>
    </w:p>
    <w:p w:rsidR="00B1318D" w:rsidRDefault="00B1318D" w:rsidP="00B1318D">
      <w:pPr>
        <w:pStyle w:val="Heading2"/>
      </w:pPr>
      <w:r>
        <w:t xml:space="preserve">2017 Summit Ideas that will not be completed </w:t>
      </w:r>
    </w:p>
    <w:p w:rsidR="00B1318D" w:rsidRDefault="00B1318D" w:rsidP="00ED4434">
      <w:pPr>
        <w:pStyle w:val="ListParagraph"/>
        <w:numPr>
          <w:ilvl w:val="0"/>
          <w:numId w:val="5"/>
        </w:numPr>
        <w:spacing w:after="240" w:line="240" w:lineRule="auto"/>
        <w:contextualSpacing w:val="0"/>
      </w:pPr>
      <w:r w:rsidRPr="00ED4434">
        <w:rPr>
          <w:b/>
        </w:rPr>
        <w:t>Volunteer Management Plan</w:t>
      </w:r>
      <w:r>
        <w:t xml:space="preserve"> – It was acknowledged that there is room to improve our volunteer management plan in order to make it more operational.  Although it wasn’t a high enough priority to be selected as a task force, Ecology may suggest some improvements through the NWACP update process.</w:t>
      </w:r>
    </w:p>
    <w:p w:rsidR="00B1318D" w:rsidRDefault="00B1318D" w:rsidP="00ED4434">
      <w:pPr>
        <w:pStyle w:val="ListParagraph"/>
        <w:numPr>
          <w:ilvl w:val="0"/>
          <w:numId w:val="5"/>
        </w:numPr>
        <w:spacing w:after="240" w:line="240" w:lineRule="auto"/>
        <w:contextualSpacing w:val="0"/>
      </w:pPr>
      <w:r w:rsidRPr="00ED4434">
        <w:rPr>
          <w:b/>
        </w:rPr>
        <w:t>Dispersants</w:t>
      </w:r>
      <w:r>
        <w:t xml:space="preserve"> – In 2014, NOAA and EPA were tasked with understanding and communicating the current state of dispersant science.  They will be wrapping up this task in the next 6 months.  The contract they have with University of New Hampshire ends on June 30, 2018.  We recommend waiting for this information to be shared, then deciding where to go as the NWAC.</w:t>
      </w:r>
    </w:p>
    <w:p w:rsidR="00B1318D" w:rsidRDefault="00B1318D" w:rsidP="00ED4434">
      <w:pPr>
        <w:pStyle w:val="ListParagraph"/>
        <w:numPr>
          <w:ilvl w:val="0"/>
          <w:numId w:val="5"/>
        </w:numPr>
        <w:spacing w:after="240" w:line="240" w:lineRule="auto"/>
        <w:contextualSpacing w:val="0"/>
      </w:pPr>
      <w:r w:rsidRPr="00ED4434">
        <w:rPr>
          <w:b/>
        </w:rPr>
        <w:t>Drill Design</w:t>
      </w:r>
      <w:r>
        <w:t xml:space="preserve"> – While we realize there is room to improve our drill and exercise design, this did not get enough support to be selected as a task force this year.</w:t>
      </w:r>
    </w:p>
    <w:p w:rsidR="00B1318D" w:rsidRDefault="00B1318D" w:rsidP="00ED4434">
      <w:pPr>
        <w:pStyle w:val="ListParagraph"/>
        <w:numPr>
          <w:ilvl w:val="0"/>
          <w:numId w:val="5"/>
        </w:numPr>
        <w:spacing w:after="240" w:line="240" w:lineRule="auto"/>
        <w:contextualSpacing w:val="0"/>
      </w:pPr>
      <w:r w:rsidRPr="00ED4434">
        <w:rPr>
          <w:b/>
        </w:rPr>
        <w:t>In Situ Burn Residue</w:t>
      </w:r>
      <w:r>
        <w:t xml:space="preserve"> – NOAA will be publishing more information on burn residue soon.  We will reconsider this task force next year.</w:t>
      </w:r>
    </w:p>
    <w:p w:rsidR="00B1318D" w:rsidRDefault="00B1318D" w:rsidP="00ED4434">
      <w:pPr>
        <w:pStyle w:val="ListParagraph"/>
        <w:numPr>
          <w:ilvl w:val="0"/>
          <w:numId w:val="5"/>
        </w:numPr>
        <w:spacing w:after="240" w:line="240" w:lineRule="auto"/>
        <w:contextualSpacing w:val="0"/>
      </w:pPr>
      <w:r w:rsidRPr="00ED4434">
        <w:rPr>
          <w:b/>
        </w:rPr>
        <w:t>Safety Plans and Guidance</w:t>
      </w:r>
      <w:r>
        <w:t xml:space="preserve"> - Although it wasn’t a high enough priority to be selected as a task force, Ecology may suggest some improvements through the NWACP update process.  They have a legislative mandate to work on this issue.</w:t>
      </w:r>
    </w:p>
    <w:p w:rsidR="00B1318D" w:rsidRDefault="00B1318D" w:rsidP="00ED4434">
      <w:pPr>
        <w:pStyle w:val="ListParagraph"/>
        <w:numPr>
          <w:ilvl w:val="0"/>
          <w:numId w:val="5"/>
        </w:numPr>
        <w:spacing w:after="240" w:line="240" w:lineRule="auto"/>
        <w:contextualSpacing w:val="0"/>
      </w:pPr>
      <w:r w:rsidRPr="00ED4434">
        <w:rPr>
          <w:b/>
        </w:rPr>
        <w:t>Rail and Pipeline Response Equipment</w:t>
      </w:r>
      <w:r w:rsidR="00ED4434">
        <w:t xml:space="preserve"> – Most of this information is already in the WRRL, and therefore this task force was a low priority for both executives and the Summit attendees.</w:t>
      </w:r>
    </w:p>
    <w:p w:rsidR="00B1318D" w:rsidRDefault="00B1318D" w:rsidP="00ED4434">
      <w:pPr>
        <w:pStyle w:val="ListParagraph"/>
        <w:numPr>
          <w:ilvl w:val="0"/>
          <w:numId w:val="5"/>
        </w:numPr>
        <w:spacing w:after="240" w:line="240" w:lineRule="auto"/>
        <w:contextualSpacing w:val="0"/>
      </w:pPr>
      <w:r w:rsidRPr="00ED4434">
        <w:rPr>
          <w:b/>
        </w:rPr>
        <w:t>Update Chapters 8000 and 8100</w:t>
      </w:r>
      <w:r w:rsidR="00ED4434">
        <w:t xml:space="preserve"> – Coast Guard Sectors will take this on individually. </w:t>
      </w:r>
    </w:p>
    <w:p w:rsidR="006D5689" w:rsidRDefault="00B1318D" w:rsidP="00F02860">
      <w:pPr>
        <w:pStyle w:val="ListParagraph"/>
        <w:numPr>
          <w:ilvl w:val="0"/>
          <w:numId w:val="5"/>
        </w:numPr>
        <w:spacing w:after="240" w:line="240" w:lineRule="auto"/>
        <w:contextualSpacing w:val="0"/>
      </w:pPr>
      <w:r w:rsidRPr="00F02860">
        <w:rPr>
          <w:b/>
        </w:rPr>
        <w:t>Rail and Pipeline Regulations Review</w:t>
      </w:r>
      <w:r w:rsidR="00ED4434">
        <w:t xml:space="preserve"> – This was a low priority for both executives and Summit attendees.</w:t>
      </w:r>
    </w:p>
    <w:sectPr w:rsidR="006D5689" w:rsidSect="002351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47" w:rsidRDefault="00893347" w:rsidP="00416051">
      <w:pPr>
        <w:spacing w:after="0" w:line="240" w:lineRule="auto"/>
      </w:pPr>
      <w:r>
        <w:separator/>
      </w:r>
    </w:p>
  </w:endnote>
  <w:endnote w:type="continuationSeparator" w:id="0">
    <w:p w:rsidR="00893347" w:rsidRDefault="00893347" w:rsidP="0041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45749"/>
      <w:docPartObj>
        <w:docPartGallery w:val="Page Numbers (Bottom of Page)"/>
        <w:docPartUnique/>
      </w:docPartObj>
    </w:sdtPr>
    <w:sdtEndPr/>
    <w:sdtContent>
      <w:p w:rsidR="00416051" w:rsidRDefault="008C3083">
        <w:pPr>
          <w:pStyle w:val="Footer"/>
          <w:jc w:val="center"/>
        </w:pPr>
        <w:r>
          <w:fldChar w:fldCharType="begin"/>
        </w:r>
        <w:r>
          <w:instrText xml:space="preserve"> PAGE   \* MERGEFORMAT </w:instrText>
        </w:r>
        <w:r>
          <w:fldChar w:fldCharType="separate"/>
        </w:r>
        <w:r w:rsidR="009F4F51">
          <w:rPr>
            <w:noProof/>
          </w:rPr>
          <w:t>3</w:t>
        </w:r>
        <w:r>
          <w:rPr>
            <w:noProof/>
          </w:rPr>
          <w:fldChar w:fldCharType="end"/>
        </w:r>
      </w:p>
    </w:sdtContent>
  </w:sdt>
  <w:p w:rsidR="00416051" w:rsidRDefault="0041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47" w:rsidRDefault="00893347" w:rsidP="00416051">
      <w:pPr>
        <w:spacing w:after="0" w:line="240" w:lineRule="auto"/>
      </w:pPr>
      <w:r>
        <w:separator/>
      </w:r>
    </w:p>
  </w:footnote>
  <w:footnote w:type="continuationSeparator" w:id="0">
    <w:p w:rsidR="00893347" w:rsidRDefault="00893347" w:rsidP="00416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62C"/>
    <w:multiLevelType w:val="hybridMultilevel"/>
    <w:tmpl w:val="D270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D0711"/>
    <w:multiLevelType w:val="hybridMultilevel"/>
    <w:tmpl w:val="10AA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303D3"/>
    <w:multiLevelType w:val="hybridMultilevel"/>
    <w:tmpl w:val="FC4C7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F5408"/>
    <w:multiLevelType w:val="hybridMultilevel"/>
    <w:tmpl w:val="FC4C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94BC4"/>
    <w:multiLevelType w:val="hybridMultilevel"/>
    <w:tmpl w:val="A366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89"/>
    <w:rsid w:val="00020C03"/>
    <w:rsid w:val="000229BA"/>
    <w:rsid w:val="000572CC"/>
    <w:rsid w:val="00084245"/>
    <w:rsid w:val="000B1FF4"/>
    <w:rsid w:val="000C6663"/>
    <w:rsid w:val="000E3337"/>
    <w:rsid w:val="00114E8A"/>
    <w:rsid w:val="0012786F"/>
    <w:rsid w:val="00172F64"/>
    <w:rsid w:val="001977DF"/>
    <w:rsid w:val="001B7539"/>
    <w:rsid w:val="001D6799"/>
    <w:rsid w:val="00210F13"/>
    <w:rsid w:val="002314A3"/>
    <w:rsid w:val="00235199"/>
    <w:rsid w:val="0029661D"/>
    <w:rsid w:val="002B4BD0"/>
    <w:rsid w:val="003A5C9A"/>
    <w:rsid w:val="003B33E2"/>
    <w:rsid w:val="003E0A04"/>
    <w:rsid w:val="00416051"/>
    <w:rsid w:val="00444384"/>
    <w:rsid w:val="0047018C"/>
    <w:rsid w:val="004B5CEE"/>
    <w:rsid w:val="0051056C"/>
    <w:rsid w:val="0054007F"/>
    <w:rsid w:val="005609E6"/>
    <w:rsid w:val="005F7EED"/>
    <w:rsid w:val="006621AE"/>
    <w:rsid w:val="006852F0"/>
    <w:rsid w:val="006A2EBE"/>
    <w:rsid w:val="006D5689"/>
    <w:rsid w:val="0071473E"/>
    <w:rsid w:val="007D6B93"/>
    <w:rsid w:val="00827E25"/>
    <w:rsid w:val="008624B6"/>
    <w:rsid w:val="00893347"/>
    <w:rsid w:val="008C3083"/>
    <w:rsid w:val="008D556F"/>
    <w:rsid w:val="008F7B6B"/>
    <w:rsid w:val="00926D88"/>
    <w:rsid w:val="009532E7"/>
    <w:rsid w:val="00972BC0"/>
    <w:rsid w:val="009E4E0C"/>
    <w:rsid w:val="009F4F51"/>
    <w:rsid w:val="00A86BAF"/>
    <w:rsid w:val="00A93E37"/>
    <w:rsid w:val="00B07369"/>
    <w:rsid w:val="00B1318D"/>
    <w:rsid w:val="00B2217A"/>
    <w:rsid w:val="00C22F10"/>
    <w:rsid w:val="00C53ED6"/>
    <w:rsid w:val="00C80765"/>
    <w:rsid w:val="00D5580D"/>
    <w:rsid w:val="00D9575A"/>
    <w:rsid w:val="00DE14B5"/>
    <w:rsid w:val="00E14F9F"/>
    <w:rsid w:val="00E3609B"/>
    <w:rsid w:val="00E37B1B"/>
    <w:rsid w:val="00ED4434"/>
    <w:rsid w:val="00EE3C12"/>
    <w:rsid w:val="00F02860"/>
    <w:rsid w:val="00F72B03"/>
    <w:rsid w:val="00F741E7"/>
    <w:rsid w:val="00FA7393"/>
    <w:rsid w:val="00FE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02178-D6B0-4358-A9BE-BBA042B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99"/>
  </w:style>
  <w:style w:type="paragraph" w:styleId="Heading1">
    <w:name w:val="heading 1"/>
    <w:basedOn w:val="Normal"/>
    <w:next w:val="Normal"/>
    <w:link w:val="Heading1Char"/>
    <w:uiPriority w:val="9"/>
    <w:qFormat/>
    <w:rsid w:val="003B33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33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89"/>
    <w:pPr>
      <w:ind w:left="720"/>
      <w:contextualSpacing/>
    </w:pPr>
  </w:style>
  <w:style w:type="paragraph" w:styleId="Header">
    <w:name w:val="header"/>
    <w:basedOn w:val="Normal"/>
    <w:link w:val="HeaderChar"/>
    <w:uiPriority w:val="99"/>
    <w:semiHidden/>
    <w:unhideWhenUsed/>
    <w:rsid w:val="00416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051"/>
  </w:style>
  <w:style w:type="paragraph" w:styleId="Footer">
    <w:name w:val="footer"/>
    <w:basedOn w:val="Normal"/>
    <w:link w:val="FooterChar"/>
    <w:uiPriority w:val="99"/>
    <w:unhideWhenUsed/>
    <w:rsid w:val="00416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51"/>
  </w:style>
  <w:style w:type="character" w:customStyle="1" w:styleId="Heading1Char">
    <w:name w:val="Heading 1 Char"/>
    <w:basedOn w:val="DefaultParagraphFont"/>
    <w:link w:val="Heading1"/>
    <w:uiPriority w:val="9"/>
    <w:rsid w:val="003B33E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B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33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870">
      <w:bodyDiv w:val="1"/>
      <w:marLeft w:val="0"/>
      <w:marRight w:val="0"/>
      <w:marTop w:val="0"/>
      <w:marBottom w:val="0"/>
      <w:divBdr>
        <w:top w:val="none" w:sz="0" w:space="0" w:color="auto"/>
        <w:left w:val="none" w:sz="0" w:space="0" w:color="auto"/>
        <w:bottom w:val="none" w:sz="0" w:space="0" w:color="auto"/>
        <w:right w:val="none" w:sz="0" w:space="0" w:color="auto"/>
      </w:divBdr>
    </w:div>
    <w:div w:id="69238731">
      <w:bodyDiv w:val="1"/>
      <w:marLeft w:val="0"/>
      <w:marRight w:val="0"/>
      <w:marTop w:val="0"/>
      <w:marBottom w:val="0"/>
      <w:divBdr>
        <w:top w:val="none" w:sz="0" w:space="0" w:color="auto"/>
        <w:left w:val="none" w:sz="0" w:space="0" w:color="auto"/>
        <w:bottom w:val="none" w:sz="0" w:space="0" w:color="auto"/>
        <w:right w:val="none" w:sz="0" w:space="0" w:color="auto"/>
      </w:divBdr>
    </w:div>
    <w:div w:id="247422337">
      <w:bodyDiv w:val="1"/>
      <w:marLeft w:val="0"/>
      <w:marRight w:val="0"/>
      <w:marTop w:val="0"/>
      <w:marBottom w:val="0"/>
      <w:divBdr>
        <w:top w:val="none" w:sz="0" w:space="0" w:color="auto"/>
        <w:left w:val="none" w:sz="0" w:space="0" w:color="auto"/>
        <w:bottom w:val="none" w:sz="0" w:space="0" w:color="auto"/>
        <w:right w:val="none" w:sz="0" w:space="0" w:color="auto"/>
      </w:divBdr>
    </w:div>
    <w:div w:id="294919688">
      <w:bodyDiv w:val="1"/>
      <w:marLeft w:val="0"/>
      <w:marRight w:val="0"/>
      <w:marTop w:val="0"/>
      <w:marBottom w:val="0"/>
      <w:divBdr>
        <w:top w:val="none" w:sz="0" w:space="0" w:color="auto"/>
        <w:left w:val="none" w:sz="0" w:space="0" w:color="auto"/>
        <w:bottom w:val="none" w:sz="0" w:space="0" w:color="auto"/>
        <w:right w:val="none" w:sz="0" w:space="0" w:color="auto"/>
      </w:divBdr>
    </w:div>
    <w:div w:id="420032063">
      <w:bodyDiv w:val="1"/>
      <w:marLeft w:val="0"/>
      <w:marRight w:val="0"/>
      <w:marTop w:val="0"/>
      <w:marBottom w:val="0"/>
      <w:divBdr>
        <w:top w:val="none" w:sz="0" w:space="0" w:color="auto"/>
        <w:left w:val="none" w:sz="0" w:space="0" w:color="auto"/>
        <w:bottom w:val="none" w:sz="0" w:space="0" w:color="auto"/>
        <w:right w:val="none" w:sz="0" w:space="0" w:color="auto"/>
      </w:divBdr>
    </w:div>
    <w:div w:id="610473962">
      <w:bodyDiv w:val="1"/>
      <w:marLeft w:val="0"/>
      <w:marRight w:val="0"/>
      <w:marTop w:val="0"/>
      <w:marBottom w:val="0"/>
      <w:divBdr>
        <w:top w:val="none" w:sz="0" w:space="0" w:color="auto"/>
        <w:left w:val="none" w:sz="0" w:space="0" w:color="auto"/>
        <w:bottom w:val="none" w:sz="0" w:space="0" w:color="auto"/>
        <w:right w:val="none" w:sz="0" w:space="0" w:color="auto"/>
      </w:divBdr>
    </w:div>
    <w:div w:id="678511663">
      <w:bodyDiv w:val="1"/>
      <w:marLeft w:val="0"/>
      <w:marRight w:val="0"/>
      <w:marTop w:val="0"/>
      <w:marBottom w:val="0"/>
      <w:divBdr>
        <w:top w:val="none" w:sz="0" w:space="0" w:color="auto"/>
        <w:left w:val="none" w:sz="0" w:space="0" w:color="auto"/>
        <w:bottom w:val="none" w:sz="0" w:space="0" w:color="auto"/>
        <w:right w:val="none" w:sz="0" w:space="0" w:color="auto"/>
      </w:divBdr>
    </w:div>
    <w:div w:id="1426223012">
      <w:bodyDiv w:val="1"/>
      <w:marLeft w:val="0"/>
      <w:marRight w:val="0"/>
      <w:marTop w:val="0"/>
      <w:marBottom w:val="0"/>
      <w:divBdr>
        <w:top w:val="none" w:sz="0" w:space="0" w:color="auto"/>
        <w:left w:val="none" w:sz="0" w:space="0" w:color="auto"/>
        <w:bottom w:val="none" w:sz="0" w:space="0" w:color="auto"/>
        <w:right w:val="none" w:sz="0" w:space="0" w:color="auto"/>
      </w:divBdr>
    </w:div>
    <w:div w:id="1586383021">
      <w:bodyDiv w:val="1"/>
      <w:marLeft w:val="0"/>
      <w:marRight w:val="0"/>
      <w:marTop w:val="0"/>
      <w:marBottom w:val="0"/>
      <w:divBdr>
        <w:top w:val="none" w:sz="0" w:space="0" w:color="auto"/>
        <w:left w:val="none" w:sz="0" w:space="0" w:color="auto"/>
        <w:bottom w:val="none" w:sz="0" w:space="0" w:color="auto"/>
        <w:right w:val="none" w:sz="0" w:space="0" w:color="auto"/>
      </w:divBdr>
    </w:div>
    <w:div w:id="1801026733">
      <w:bodyDiv w:val="1"/>
      <w:marLeft w:val="0"/>
      <w:marRight w:val="0"/>
      <w:marTop w:val="0"/>
      <w:marBottom w:val="0"/>
      <w:divBdr>
        <w:top w:val="none" w:sz="0" w:space="0" w:color="auto"/>
        <w:left w:val="none" w:sz="0" w:space="0" w:color="auto"/>
        <w:bottom w:val="none" w:sz="0" w:space="0" w:color="auto"/>
        <w:right w:val="none" w:sz="0" w:space="0" w:color="auto"/>
      </w:divBdr>
    </w:div>
    <w:div w:id="1845316552">
      <w:bodyDiv w:val="1"/>
      <w:marLeft w:val="0"/>
      <w:marRight w:val="0"/>
      <w:marTop w:val="0"/>
      <w:marBottom w:val="0"/>
      <w:divBdr>
        <w:top w:val="none" w:sz="0" w:space="0" w:color="auto"/>
        <w:left w:val="none" w:sz="0" w:space="0" w:color="auto"/>
        <w:bottom w:val="none" w:sz="0" w:space="0" w:color="auto"/>
        <w:right w:val="none" w:sz="0" w:space="0" w:color="auto"/>
      </w:divBdr>
    </w:div>
    <w:div w:id="1894197511">
      <w:bodyDiv w:val="1"/>
      <w:marLeft w:val="0"/>
      <w:marRight w:val="0"/>
      <w:marTop w:val="0"/>
      <w:marBottom w:val="0"/>
      <w:divBdr>
        <w:top w:val="none" w:sz="0" w:space="0" w:color="auto"/>
        <w:left w:val="none" w:sz="0" w:space="0" w:color="auto"/>
        <w:bottom w:val="none" w:sz="0" w:space="0" w:color="auto"/>
        <w:right w:val="none" w:sz="0" w:space="0" w:color="auto"/>
      </w:divBdr>
    </w:div>
    <w:div w:id="2017539605">
      <w:bodyDiv w:val="1"/>
      <w:marLeft w:val="0"/>
      <w:marRight w:val="0"/>
      <w:marTop w:val="0"/>
      <w:marBottom w:val="0"/>
      <w:divBdr>
        <w:top w:val="none" w:sz="0" w:space="0" w:color="auto"/>
        <w:left w:val="none" w:sz="0" w:space="0" w:color="auto"/>
        <w:bottom w:val="none" w:sz="0" w:space="0" w:color="auto"/>
        <w:right w:val="none" w:sz="0" w:space="0" w:color="auto"/>
      </w:divBdr>
    </w:div>
    <w:div w:id="21322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D13 RRT Coordinator</dc:creator>
  <cp:lastModifiedBy>Nordeen, Renee</cp:lastModifiedBy>
  <cp:revision>2</cp:revision>
  <dcterms:created xsi:type="dcterms:W3CDTF">2018-01-08T19:00:00Z</dcterms:created>
  <dcterms:modified xsi:type="dcterms:W3CDTF">2018-01-08T19:00:00Z</dcterms:modified>
</cp:coreProperties>
</file>