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E30AF1" w:rsidRPr="00D1678B" w:rsidRDefault="007E4364" w:rsidP="00CA3230">
      <w:pPr>
        <w:autoSpaceDE w:val="0"/>
        <w:autoSpaceDN w:val="0"/>
        <w:adjustRightInd w:val="0"/>
        <w:rPr>
          <w:rFonts w:ascii="Calibri" w:hAnsi="Calibri"/>
          <w:sz w:val="22"/>
          <w:szCs w:val="22"/>
        </w:rPr>
      </w:pPr>
      <w:r>
        <w:rPr>
          <w:rFonts w:ascii="Calibri" w:hAnsi="Calibri"/>
          <w:noProof/>
          <w:sz w:val="22"/>
          <w:szCs w:val="22"/>
        </w:rPr>
        <w:pict>
          <v:group id="_x0000_s1026" style="position:absolute;margin-left:-12pt;margin-top:-32.75pt;width:463.5pt;height:97.85pt;z-index:251657728" coordorigin="1170,255" coordsize="9270,1957">
            <v:shapetype id="_x0000_t202" coordsize="21600,21600" o:spt="202" path="m0,0l0,21600,21600,21600,21600,0xe">
              <v:stroke joinstyle="miter"/>
              <v:path gradientshapeok="t" o:connecttype="rect"/>
            </v:shapetype>
            <v:shape id="_x0000_s1027" type="#_x0000_t202" style="position:absolute;left:3062;top:255;width:7378;height:1792" filled="f" fillcolor="#0c9" stroked="f">
              <v:textbox style="mso-next-textbox:#_x0000_s1027">
                <w:txbxContent>
                  <w:p w:rsidR="00E30AF1" w:rsidRDefault="00E30AF1" w:rsidP="00E30AF1">
                    <w:pPr>
                      <w:autoSpaceDE w:val="0"/>
                      <w:autoSpaceDN w:val="0"/>
                      <w:adjustRightInd w:val="0"/>
                      <w:rPr>
                        <w:color w:val="000000"/>
                      </w:rPr>
                    </w:pPr>
                  </w:p>
                  <w:p w:rsidR="00E30AF1" w:rsidRPr="00F42EA2" w:rsidRDefault="00E30AF1" w:rsidP="00E30AF1">
                    <w:pPr>
                      <w:autoSpaceDE w:val="0"/>
                      <w:autoSpaceDN w:val="0"/>
                      <w:adjustRightInd w:val="0"/>
                      <w:rPr>
                        <w:rFonts w:cs="Arial"/>
                        <w:color w:val="000000"/>
                        <w:sz w:val="20"/>
                      </w:rPr>
                    </w:pPr>
                    <w:r w:rsidRPr="00F42EA2">
                      <w:rPr>
                        <w:rFonts w:cs="Arial"/>
                        <w:color w:val="000000"/>
                        <w:sz w:val="20"/>
                      </w:rPr>
                      <w:t>EPA Region 10</w:t>
                    </w:r>
                    <w:r w:rsidRPr="00F42EA2">
                      <w:rPr>
                        <w:rFonts w:cs="Arial"/>
                        <w:color w:val="000000"/>
                        <w:sz w:val="20"/>
                      </w:rPr>
                      <w:tab/>
                      <w:t xml:space="preserve">                        </w:t>
                    </w:r>
                    <w:r w:rsidR="00F42EA2">
                      <w:rPr>
                        <w:rFonts w:cs="Arial"/>
                        <w:color w:val="000000"/>
                        <w:sz w:val="20"/>
                      </w:rPr>
                      <w:tab/>
                    </w:r>
                    <w:r w:rsidR="00F42EA2">
                      <w:rPr>
                        <w:rFonts w:cs="Arial"/>
                        <w:color w:val="000000"/>
                        <w:sz w:val="20"/>
                      </w:rPr>
                      <w:tab/>
                    </w:r>
                    <w:r w:rsidRPr="00F42EA2">
                      <w:rPr>
                        <w:rFonts w:cs="Arial"/>
                        <w:color w:val="000000"/>
                        <w:sz w:val="20"/>
                      </w:rPr>
                      <w:t>U. S. Coast Guard</w:t>
                    </w:r>
                  </w:p>
                  <w:p w:rsidR="00E30AF1" w:rsidRPr="00F42EA2" w:rsidRDefault="00E30AF1" w:rsidP="00E30AF1">
                    <w:pPr>
                      <w:autoSpaceDE w:val="0"/>
                      <w:autoSpaceDN w:val="0"/>
                      <w:adjustRightInd w:val="0"/>
                      <w:rPr>
                        <w:rFonts w:cs="Arial"/>
                        <w:color w:val="000000"/>
                        <w:sz w:val="20"/>
                      </w:rPr>
                    </w:pPr>
                    <w:r w:rsidRPr="00F42EA2">
                      <w:rPr>
                        <w:rFonts w:cs="Arial"/>
                        <w:color w:val="000000"/>
                        <w:sz w:val="20"/>
                      </w:rPr>
                      <w:t xml:space="preserve">Emergency Response Program      </w:t>
                    </w:r>
                    <w:r w:rsidR="00F42EA2">
                      <w:rPr>
                        <w:rFonts w:cs="Arial"/>
                        <w:color w:val="000000"/>
                        <w:sz w:val="20"/>
                      </w:rPr>
                      <w:tab/>
                    </w:r>
                    <w:r w:rsidRPr="00F42EA2">
                      <w:rPr>
                        <w:rFonts w:cs="Arial"/>
                        <w:color w:val="000000"/>
                        <w:sz w:val="20"/>
                      </w:rPr>
                      <w:t>13th Coast Guard District</w:t>
                    </w:r>
                  </w:p>
                  <w:p w:rsidR="00E30AF1" w:rsidRPr="00F42EA2" w:rsidRDefault="00E30AF1" w:rsidP="00E30AF1">
                    <w:pPr>
                      <w:autoSpaceDE w:val="0"/>
                      <w:autoSpaceDN w:val="0"/>
                      <w:adjustRightInd w:val="0"/>
                      <w:rPr>
                        <w:rFonts w:cs="Arial"/>
                        <w:color w:val="000000"/>
                        <w:sz w:val="20"/>
                      </w:rPr>
                    </w:pPr>
                    <w:r w:rsidRPr="00F42EA2">
                      <w:rPr>
                        <w:rFonts w:cs="Arial"/>
                        <w:color w:val="000000"/>
                        <w:sz w:val="20"/>
                      </w:rPr>
                      <w:t>1200 Sixth Avenue</w:t>
                    </w:r>
                    <w:r w:rsidRPr="00F42EA2">
                      <w:rPr>
                        <w:rFonts w:cs="Arial"/>
                        <w:color w:val="000000"/>
                        <w:sz w:val="20"/>
                      </w:rPr>
                      <w:tab/>
                      <w:t xml:space="preserve">                        </w:t>
                    </w:r>
                    <w:r w:rsidR="00F42EA2">
                      <w:rPr>
                        <w:rFonts w:cs="Arial"/>
                        <w:color w:val="000000"/>
                        <w:sz w:val="20"/>
                      </w:rPr>
                      <w:tab/>
                    </w:r>
                    <w:r w:rsidRPr="00F42EA2">
                      <w:rPr>
                        <w:rFonts w:cs="Arial"/>
                        <w:color w:val="000000"/>
                        <w:sz w:val="20"/>
                      </w:rPr>
                      <w:t>Planning Division</w:t>
                    </w:r>
                  </w:p>
                  <w:p w:rsidR="00E30AF1" w:rsidRPr="00F42EA2" w:rsidRDefault="00E30AF1" w:rsidP="00E30AF1">
                    <w:pPr>
                      <w:autoSpaceDE w:val="0"/>
                      <w:autoSpaceDN w:val="0"/>
                      <w:adjustRightInd w:val="0"/>
                      <w:rPr>
                        <w:rFonts w:cs="Arial"/>
                        <w:color w:val="000000"/>
                        <w:sz w:val="20"/>
                      </w:rPr>
                    </w:pPr>
                    <w:r w:rsidRPr="00F42EA2">
                      <w:rPr>
                        <w:rFonts w:cs="Arial"/>
                        <w:color w:val="000000"/>
                        <w:sz w:val="20"/>
                      </w:rPr>
                      <w:t xml:space="preserve">Mail Stop ECL-116                           </w:t>
                    </w:r>
                    <w:r w:rsidR="00F42EA2">
                      <w:rPr>
                        <w:rFonts w:cs="Arial"/>
                        <w:color w:val="000000"/>
                        <w:sz w:val="20"/>
                      </w:rPr>
                      <w:tab/>
                    </w:r>
                    <w:r w:rsidRPr="00F42EA2">
                      <w:rPr>
                        <w:rFonts w:cs="Arial"/>
                        <w:color w:val="000000"/>
                        <w:sz w:val="20"/>
                      </w:rPr>
                      <w:t>915 Second Avenue</w:t>
                    </w:r>
                  </w:p>
                  <w:p w:rsidR="00E30AF1" w:rsidRPr="00F42EA2" w:rsidRDefault="00E30AF1" w:rsidP="00E30AF1">
                    <w:pPr>
                      <w:autoSpaceDE w:val="0"/>
                      <w:autoSpaceDN w:val="0"/>
                      <w:adjustRightInd w:val="0"/>
                      <w:rPr>
                        <w:rFonts w:cs="Arial"/>
                        <w:color w:val="000000"/>
                        <w:sz w:val="20"/>
                      </w:rPr>
                    </w:pPr>
                    <w:r w:rsidRPr="00F42EA2">
                      <w:rPr>
                        <w:rFonts w:cs="Arial"/>
                        <w:color w:val="000000"/>
                        <w:sz w:val="20"/>
                      </w:rPr>
                      <w:t xml:space="preserve">Seattle, WA  98101                          </w:t>
                    </w:r>
                    <w:r w:rsidR="00F42EA2">
                      <w:rPr>
                        <w:rFonts w:cs="Arial"/>
                        <w:color w:val="000000"/>
                        <w:sz w:val="20"/>
                      </w:rPr>
                      <w:tab/>
                    </w:r>
                    <w:r w:rsidRPr="00F42EA2">
                      <w:rPr>
                        <w:rFonts w:cs="Arial"/>
                        <w:color w:val="000000"/>
                        <w:sz w:val="20"/>
                      </w:rPr>
                      <w:t>Seattle, WA  98174</w:t>
                    </w:r>
                  </w:p>
                  <w:p w:rsidR="00E30AF1" w:rsidRDefault="00E30AF1" w:rsidP="00E30AF1">
                    <w:pPr>
                      <w:autoSpaceDE w:val="0"/>
                      <w:autoSpaceDN w:val="0"/>
                      <w:adjustRightInd w:val="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70;top:360;width:1756;height:1852" fillcolor="#0c9">
              <v:imagedata r:id="rId7" o:title=""/>
            </v:shape>
          </v:group>
          <o:OLEObject Type="Embed" ProgID="MSPhotoEd.3" ShapeID="_x0000_s1028" DrawAspect="Content" ObjectID="_1387823741" r:id="rId8"/>
        </w:pict>
      </w:r>
    </w:p>
    <w:p w:rsidR="00E30AF1" w:rsidRPr="00D1678B" w:rsidRDefault="00E30AF1" w:rsidP="00CA3230">
      <w:pPr>
        <w:autoSpaceDE w:val="0"/>
        <w:autoSpaceDN w:val="0"/>
        <w:adjustRightInd w:val="0"/>
        <w:rPr>
          <w:rFonts w:ascii="Calibri" w:hAnsi="Calibri"/>
          <w:sz w:val="22"/>
          <w:szCs w:val="22"/>
        </w:rPr>
      </w:pPr>
    </w:p>
    <w:p w:rsidR="00491A61" w:rsidRPr="00D1678B" w:rsidRDefault="00491A61" w:rsidP="00CA3230">
      <w:pPr>
        <w:autoSpaceDE w:val="0"/>
        <w:autoSpaceDN w:val="0"/>
        <w:adjustRightInd w:val="0"/>
        <w:rPr>
          <w:rFonts w:ascii="Calibri" w:hAnsi="Calibri"/>
          <w:sz w:val="22"/>
          <w:szCs w:val="22"/>
        </w:rPr>
      </w:pPr>
    </w:p>
    <w:p w:rsidR="00CA3230" w:rsidRPr="00D1678B" w:rsidRDefault="00CA3230" w:rsidP="00CA3230">
      <w:pPr>
        <w:autoSpaceDE w:val="0"/>
        <w:autoSpaceDN w:val="0"/>
        <w:adjustRightInd w:val="0"/>
        <w:rPr>
          <w:rFonts w:ascii="Calibri" w:hAnsi="Calibri"/>
          <w:sz w:val="22"/>
          <w:szCs w:val="22"/>
        </w:rPr>
      </w:pPr>
    </w:p>
    <w:p w:rsidR="003C573C" w:rsidRDefault="003C573C" w:rsidP="002F2225">
      <w:pPr>
        <w:autoSpaceDE w:val="0"/>
        <w:autoSpaceDN w:val="0"/>
        <w:adjustRightInd w:val="0"/>
        <w:spacing w:after="120"/>
        <w:rPr>
          <w:rFonts w:ascii="Calibri" w:hAnsi="Calibri"/>
          <w:sz w:val="22"/>
          <w:szCs w:val="22"/>
        </w:rPr>
      </w:pPr>
    </w:p>
    <w:p w:rsidR="003C573C" w:rsidRDefault="003C573C" w:rsidP="002F2225">
      <w:pPr>
        <w:autoSpaceDE w:val="0"/>
        <w:autoSpaceDN w:val="0"/>
        <w:adjustRightInd w:val="0"/>
        <w:spacing w:after="120"/>
        <w:rPr>
          <w:rFonts w:ascii="Calibri" w:hAnsi="Calibri"/>
          <w:sz w:val="22"/>
          <w:szCs w:val="22"/>
        </w:rPr>
      </w:pPr>
    </w:p>
    <w:p w:rsidR="00006038" w:rsidRDefault="007E4364" w:rsidP="002F2225">
      <w:pPr>
        <w:autoSpaceDE w:val="0"/>
        <w:autoSpaceDN w:val="0"/>
        <w:adjustRightInd w:val="0"/>
        <w:spacing w:after="120"/>
        <w:rPr>
          <w:rFonts w:ascii="Calibri" w:hAnsi="Calibri"/>
          <w:sz w:val="22"/>
          <w:szCs w:val="22"/>
        </w:rPr>
      </w:pPr>
      <w:r>
        <w:rPr>
          <w:rFonts w:ascii="Calibri" w:hAnsi="Calibri"/>
          <w:sz w:val="22"/>
          <w:szCs w:val="22"/>
        </w:rPr>
        <w:t>January 8</w:t>
      </w:r>
      <w:bookmarkStart w:id="0" w:name="_GoBack"/>
      <w:bookmarkEnd w:id="0"/>
      <w:r w:rsidR="00006038">
        <w:rPr>
          <w:rFonts w:ascii="Calibri" w:hAnsi="Calibri"/>
          <w:sz w:val="22"/>
          <w:szCs w:val="22"/>
        </w:rPr>
        <w:t>, 2016</w:t>
      </w:r>
    </w:p>
    <w:p w:rsidR="003C573C" w:rsidRDefault="003C573C" w:rsidP="002F2225">
      <w:pPr>
        <w:autoSpaceDE w:val="0"/>
        <w:autoSpaceDN w:val="0"/>
        <w:adjustRightInd w:val="0"/>
        <w:spacing w:after="120"/>
        <w:rPr>
          <w:rFonts w:ascii="Calibri" w:hAnsi="Calibri"/>
          <w:sz w:val="22"/>
          <w:szCs w:val="22"/>
        </w:rPr>
      </w:pPr>
    </w:p>
    <w:p w:rsidR="00E30AF1" w:rsidRPr="00D1678B" w:rsidRDefault="00762151" w:rsidP="002F2225">
      <w:pPr>
        <w:autoSpaceDE w:val="0"/>
        <w:autoSpaceDN w:val="0"/>
        <w:adjustRightInd w:val="0"/>
        <w:spacing w:after="120"/>
        <w:rPr>
          <w:rFonts w:ascii="Calibri" w:hAnsi="Calibri"/>
          <w:sz w:val="22"/>
          <w:szCs w:val="22"/>
        </w:rPr>
      </w:pPr>
      <w:r w:rsidRPr="00D1678B">
        <w:rPr>
          <w:rFonts w:ascii="Calibri" w:hAnsi="Calibri"/>
          <w:sz w:val="22"/>
          <w:szCs w:val="22"/>
        </w:rPr>
        <w:t>N</w:t>
      </w:r>
      <w:r w:rsidR="00A14F3C">
        <w:rPr>
          <w:rFonts w:ascii="Calibri" w:hAnsi="Calibri"/>
          <w:sz w:val="22"/>
          <w:szCs w:val="22"/>
        </w:rPr>
        <w:t>orthwest</w:t>
      </w:r>
      <w:r w:rsidRPr="00D1678B">
        <w:rPr>
          <w:rFonts w:ascii="Calibri" w:hAnsi="Calibri"/>
          <w:sz w:val="22"/>
          <w:szCs w:val="22"/>
        </w:rPr>
        <w:t xml:space="preserve"> Oil and Hazmat </w:t>
      </w:r>
      <w:r w:rsidR="00945EE8">
        <w:rPr>
          <w:rFonts w:ascii="Calibri" w:hAnsi="Calibri"/>
          <w:sz w:val="22"/>
          <w:szCs w:val="22"/>
        </w:rPr>
        <w:t xml:space="preserve">Materials </w:t>
      </w:r>
      <w:r w:rsidRPr="00D1678B">
        <w:rPr>
          <w:rFonts w:ascii="Calibri" w:hAnsi="Calibri"/>
          <w:sz w:val="22"/>
          <w:szCs w:val="22"/>
        </w:rPr>
        <w:t>Response Community –</w:t>
      </w:r>
    </w:p>
    <w:p w:rsidR="00F42EA2" w:rsidRDefault="00762151" w:rsidP="002F2225">
      <w:pPr>
        <w:autoSpaceDE w:val="0"/>
        <w:autoSpaceDN w:val="0"/>
        <w:adjustRightInd w:val="0"/>
        <w:spacing w:after="120"/>
        <w:rPr>
          <w:rFonts w:ascii="Calibri" w:hAnsi="Calibri"/>
          <w:sz w:val="22"/>
          <w:szCs w:val="22"/>
        </w:rPr>
      </w:pPr>
      <w:r w:rsidRPr="00D1678B">
        <w:rPr>
          <w:rFonts w:ascii="Calibri" w:hAnsi="Calibri"/>
          <w:sz w:val="22"/>
          <w:szCs w:val="22"/>
        </w:rPr>
        <w:t xml:space="preserve">Thank you to everyone who participated in our 2016 Task Force selection process.  We received and discussed many projects that would improve our preparedness.  </w:t>
      </w:r>
      <w:r w:rsidR="00F42EA2" w:rsidRPr="00D1678B">
        <w:rPr>
          <w:rFonts w:ascii="Calibri" w:hAnsi="Calibri"/>
          <w:sz w:val="22"/>
          <w:szCs w:val="22"/>
        </w:rPr>
        <w:t xml:space="preserve">This letter explains which task forces were selected for 2016, which projects may be completed in 2016 outside of the task force structure, and why some of the projects were not selected.  </w:t>
      </w:r>
      <w:r w:rsidR="00B2058D" w:rsidRPr="00D1678B">
        <w:rPr>
          <w:rFonts w:ascii="Calibri" w:hAnsi="Calibri"/>
          <w:sz w:val="22"/>
          <w:szCs w:val="22"/>
        </w:rPr>
        <w:t>We highly encourage you to go to the N</w:t>
      </w:r>
      <w:r w:rsidR="00A14F3C">
        <w:rPr>
          <w:rFonts w:ascii="Calibri" w:hAnsi="Calibri"/>
          <w:sz w:val="22"/>
          <w:szCs w:val="22"/>
        </w:rPr>
        <w:t>orthwest</w:t>
      </w:r>
      <w:r w:rsidR="00B2058D" w:rsidRPr="00D1678B">
        <w:rPr>
          <w:rFonts w:ascii="Calibri" w:hAnsi="Calibri"/>
          <w:sz w:val="22"/>
          <w:szCs w:val="22"/>
        </w:rPr>
        <w:t xml:space="preserve"> Area Committee </w:t>
      </w:r>
      <w:r w:rsidR="00A14F3C">
        <w:rPr>
          <w:rFonts w:ascii="Calibri" w:hAnsi="Calibri"/>
          <w:sz w:val="22"/>
          <w:szCs w:val="22"/>
        </w:rPr>
        <w:t xml:space="preserve">(NWAC) </w:t>
      </w:r>
      <w:r w:rsidR="00B2058D" w:rsidRPr="00D1678B">
        <w:rPr>
          <w:rFonts w:ascii="Calibri" w:hAnsi="Calibri"/>
          <w:sz w:val="22"/>
          <w:szCs w:val="22"/>
        </w:rPr>
        <w:t xml:space="preserve">website and volunteer for a 2016 Task Force!  </w:t>
      </w:r>
      <w:hyperlink r:id="rId9" w:history="1">
        <w:r w:rsidR="00CA3230" w:rsidRPr="00D1678B">
          <w:rPr>
            <w:rStyle w:val="Hyperlink"/>
            <w:rFonts w:ascii="Calibri" w:hAnsi="Calibri"/>
            <w:sz w:val="22"/>
            <w:szCs w:val="22"/>
          </w:rPr>
          <w:t>www.rrt10nwac.com</w:t>
        </w:r>
      </w:hyperlink>
      <w:r w:rsidR="00B2058D" w:rsidRPr="00D1678B">
        <w:rPr>
          <w:rFonts w:ascii="Calibri" w:hAnsi="Calibri"/>
          <w:sz w:val="22"/>
          <w:szCs w:val="22"/>
        </w:rPr>
        <w:t>.</w:t>
      </w:r>
    </w:p>
    <w:p w:rsidR="00A14F3C" w:rsidRDefault="00A14F3C" w:rsidP="00A14F3C">
      <w:pPr>
        <w:autoSpaceDE w:val="0"/>
        <w:autoSpaceDN w:val="0"/>
        <w:adjustRightInd w:val="0"/>
        <w:spacing w:after="120"/>
        <w:jc w:val="both"/>
        <w:rPr>
          <w:rFonts w:ascii="Calibri" w:hAnsi="Calibri"/>
          <w:sz w:val="22"/>
          <w:szCs w:val="22"/>
        </w:rPr>
      </w:pPr>
      <w:r>
        <w:rPr>
          <w:rFonts w:ascii="Calibri" w:hAnsi="Calibri"/>
          <w:sz w:val="22"/>
          <w:szCs w:val="22"/>
        </w:rPr>
        <w:t>The purpose of the Task Forces themselves is primarily to update and revise the Northwest Area Contingency Plan (NWACP), as part of its annual update.  As an Area Committee, our focus is to continue to find areas to improve our readiness to respond as a whole community.  While there is much work to be done, there are only so many resources to accomplish this large workload.  Given these constraints, we are unable to select every Task Force that is proposed each year.  Priorities are based on a range of factors, which can shift year to year.</w:t>
      </w:r>
    </w:p>
    <w:p w:rsidR="002201C2" w:rsidRDefault="00F42EA2" w:rsidP="002F2225">
      <w:pPr>
        <w:autoSpaceDE w:val="0"/>
        <w:autoSpaceDN w:val="0"/>
        <w:adjustRightInd w:val="0"/>
        <w:spacing w:after="120"/>
        <w:rPr>
          <w:rFonts w:ascii="Calibri" w:hAnsi="Calibri"/>
          <w:sz w:val="22"/>
          <w:szCs w:val="22"/>
        </w:rPr>
      </w:pPr>
      <w:r w:rsidRPr="00D1678B">
        <w:rPr>
          <w:rFonts w:ascii="Calibri" w:hAnsi="Calibri"/>
          <w:sz w:val="22"/>
          <w:szCs w:val="22"/>
        </w:rPr>
        <w:t>T</w:t>
      </w:r>
      <w:r w:rsidR="00762151" w:rsidRPr="00D1678B">
        <w:rPr>
          <w:rFonts w:ascii="Calibri" w:hAnsi="Calibri"/>
          <w:sz w:val="22"/>
          <w:szCs w:val="22"/>
        </w:rPr>
        <w:t xml:space="preserve">he </w:t>
      </w:r>
      <w:r w:rsidRPr="00D1678B">
        <w:rPr>
          <w:rFonts w:ascii="Calibri" w:hAnsi="Calibri"/>
          <w:sz w:val="22"/>
          <w:szCs w:val="22"/>
        </w:rPr>
        <w:t xml:space="preserve">NWAC Leadership selected </w:t>
      </w:r>
      <w:r w:rsidR="009D0513" w:rsidRPr="00D1678B">
        <w:rPr>
          <w:rFonts w:ascii="Calibri" w:hAnsi="Calibri"/>
          <w:sz w:val="22"/>
          <w:szCs w:val="22"/>
        </w:rPr>
        <w:t xml:space="preserve">four </w:t>
      </w:r>
      <w:r w:rsidRPr="00D1678B">
        <w:rPr>
          <w:rFonts w:ascii="Calibri" w:hAnsi="Calibri"/>
          <w:sz w:val="22"/>
          <w:szCs w:val="22"/>
        </w:rPr>
        <w:t>task forces for 2016</w:t>
      </w:r>
      <w:r w:rsidR="009D0513" w:rsidRPr="00D1678B">
        <w:rPr>
          <w:rFonts w:ascii="Calibri" w:hAnsi="Calibri"/>
          <w:sz w:val="22"/>
          <w:szCs w:val="22"/>
        </w:rPr>
        <w:t xml:space="preserve"> </w:t>
      </w:r>
      <w:r w:rsidR="002650E4">
        <w:rPr>
          <w:rFonts w:ascii="Calibri" w:hAnsi="Calibri"/>
          <w:sz w:val="22"/>
          <w:szCs w:val="22"/>
        </w:rPr>
        <w:t>based on important input from our active partners and stakeholders</w:t>
      </w:r>
      <w:r w:rsidR="00653595">
        <w:rPr>
          <w:rFonts w:ascii="Calibri" w:hAnsi="Calibri"/>
          <w:sz w:val="22"/>
          <w:szCs w:val="22"/>
        </w:rPr>
        <w:t>.  This is fewer than in previous years</w:t>
      </w:r>
      <w:r w:rsidR="002650E4">
        <w:rPr>
          <w:rFonts w:ascii="Calibri" w:hAnsi="Calibri"/>
          <w:sz w:val="22"/>
          <w:szCs w:val="22"/>
        </w:rPr>
        <w:t xml:space="preserve"> </w:t>
      </w:r>
      <w:r w:rsidR="009D0513" w:rsidRPr="00D1678B">
        <w:rPr>
          <w:rFonts w:ascii="Calibri" w:hAnsi="Calibri"/>
          <w:sz w:val="22"/>
          <w:szCs w:val="22"/>
        </w:rPr>
        <w:t xml:space="preserve">due to </w:t>
      </w:r>
      <w:r w:rsidR="002650E4">
        <w:rPr>
          <w:rFonts w:ascii="Calibri" w:hAnsi="Calibri"/>
          <w:sz w:val="22"/>
          <w:szCs w:val="22"/>
        </w:rPr>
        <w:t xml:space="preserve">both </w:t>
      </w:r>
      <w:r w:rsidR="009D0513" w:rsidRPr="00D1678B">
        <w:rPr>
          <w:rFonts w:ascii="Calibri" w:hAnsi="Calibri"/>
          <w:sz w:val="22"/>
          <w:szCs w:val="22"/>
        </w:rPr>
        <w:t xml:space="preserve">the </w:t>
      </w:r>
      <w:r w:rsidR="006C4105">
        <w:rPr>
          <w:rFonts w:ascii="Calibri" w:hAnsi="Calibri"/>
          <w:sz w:val="22"/>
          <w:szCs w:val="22"/>
        </w:rPr>
        <w:t xml:space="preserve">large </w:t>
      </w:r>
      <w:r w:rsidR="009D0513" w:rsidRPr="00D1678B">
        <w:rPr>
          <w:rFonts w:ascii="Calibri" w:hAnsi="Calibri"/>
          <w:sz w:val="22"/>
          <w:szCs w:val="22"/>
        </w:rPr>
        <w:t xml:space="preserve">workload associated with the selected task forces and the ongoing Endangered Species Act consultation on the NWACP.  </w:t>
      </w:r>
    </w:p>
    <w:p w:rsidR="00653595" w:rsidRDefault="00653595" w:rsidP="002F2225">
      <w:pPr>
        <w:autoSpaceDE w:val="0"/>
        <w:autoSpaceDN w:val="0"/>
        <w:adjustRightInd w:val="0"/>
        <w:spacing w:after="120"/>
        <w:rPr>
          <w:rFonts w:ascii="Calibri" w:hAnsi="Calibri"/>
          <w:sz w:val="22"/>
          <w:szCs w:val="22"/>
        </w:rPr>
      </w:pPr>
    </w:p>
    <w:p w:rsidR="00762151" w:rsidRPr="00D1678B" w:rsidRDefault="009D0513" w:rsidP="002F2225">
      <w:pPr>
        <w:autoSpaceDE w:val="0"/>
        <w:autoSpaceDN w:val="0"/>
        <w:adjustRightInd w:val="0"/>
        <w:spacing w:after="120"/>
        <w:rPr>
          <w:rFonts w:ascii="Calibri" w:hAnsi="Calibri"/>
          <w:sz w:val="22"/>
          <w:szCs w:val="22"/>
        </w:rPr>
      </w:pPr>
      <w:r w:rsidRPr="00D1678B">
        <w:rPr>
          <w:rFonts w:ascii="Calibri" w:hAnsi="Calibri"/>
          <w:sz w:val="22"/>
          <w:szCs w:val="22"/>
          <w:u w:val="single"/>
        </w:rPr>
        <w:t>The four selected Task Forces are</w:t>
      </w:r>
      <w:r w:rsidR="00762151" w:rsidRPr="00D1678B">
        <w:rPr>
          <w:rFonts w:ascii="Calibri" w:hAnsi="Calibri"/>
          <w:sz w:val="22"/>
          <w:szCs w:val="22"/>
        </w:rPr>
        <w:t>:</w:t>
      </w:r>
    </w:p>
    <w:p w:rsidR="00CA3230" w:rsidRPr="00D1678B" w:rsidRDefault="00CA3230" w:rsidP="002F2225">
      <w:pPr>
        <w:autoSpaceDE w:val="0"/>
        <w:autoSpaceDN w:val="0"/>
        <w:adjustRightInd w:val="0"/>
        <w:spacing w:after="120"/>
        <w:rPr>
          <w:rFonts w:ascii="Calibri" w:hAnsi="Calibri"/>
          <w:i/>
          <w:sz w:val="22"/>
          <w:szCs w:val="22"/>
        </w:rPr>
      </w:pPr>
      <w:r w:rsidRPr="00D1678B">
        <w:rPr>
          <w:rFonts w:ascii="Calibri" w:hAnsi="Calibri"/>
          <w:b/>
          <w:sz w:val="22"/>
          <w:szCs w:val="22"/>
        </w:rPr>
        <w:t xml:space="preserve">96 Hours </w:t>
      </w:r>
    </w:p>
    <w:p w:rsidR="003C573C" w:rsidRDefault="00CA3230" w:rsidP="003C573C">
      <w:pPr>
        <w:autoSpaceDE w:val="0"/>
        <w:autoSpaceDN w:val="0"/>
        <w:adjustRightInd w:val="0"/>
        <w:ind w:left="720"/>
        <w:rPr>
          <w:rFonts w:ascii="Calibri" w:hAnsi="Calibri"/>
          <w:color w:val="000000"/>
          <w:sz w:val="22"/>
          <w:szCs w:val="22"/>
        </w:rPr>
      </w:pPr>
      <w:r>
        <w:rPr>
          <w:rFonts w:ascii="Calibri" w:hAnsi="Calibri"/>
          <w:color w:val="000000"/>
          <w:sz w:val="22"/>
          <w:szCs w:val="22"/>
        </w:rPr>
        <w:t>1. Develop a</w:t>
      </w:r>
      <w:r w:rsidRPr="00CA3230">
        <w:rPr>
          <w:rFonts w:ascii="Calibri" w:hAnsi="Calibri"/>
          <w:color w:val="000000"/>
          <w:sz w:val="22"/>
          <w:szCs w:val="22"/>
        </w:rPr>
        <w:t xml:space="preserve"> tool that outlines milestones </w:t>
      </w:r>
      <w:r>
        <w:rPr>
          <w:rFonts w:ascii="Calibri" w:hAnsi="Calibri"/>
          <w:color w:val="000000"/>
          <w:sz w:val="22"/>
          <w:szCs w:val="22"/>
        </w:rPr>
        <w:t xml:space="preserve">in the first 96 hours of </w:t>
      </w:r>
      <w:r w:rsidRPr="00CA3230">
        <w:rPr>
          <w:rFonts w:ascii="Calibri" w:hAnsi="Calibri"/>
          <w:color w:val="000000"/>
          <w:sz w:val="22"/>
          <w:szCs w:val="22"/>
        </w:rPr>
        <w:t xml:space="preserve">a major response; </w:t>
      </w:r>
      <w:r w:rsidR="006C4105">
        <w:rPr>
          <w:rFonts w:ascii="Calibri" w:hAnsi="Calibri"/>
          <w:color w:val="000000"/>
          <w:sz w:val="22"/>
          <w:szCs w:val="22"/>
        </w:rPr>
        <w:t xml:space="preserve">      </w:t>
      </w:r>
      <w:r w:rsidRPr="00CA3230">
        <w:rPr>
          <w:rFonts w:ascii="Calibri" w:hAnsi="Calibri"/>
          <w:color w:val="000000"/>
          <w:sz w:val="22"/>
          <w:szCs w:val="22"/>
        </w:rPr>
        <w:t>2. Document how the Area Plan works with other contingency plans (LEPCs, industry plans,</w:t>
      </w:r>
      <w:r w:rsidR="00890203">
        <w:rPr>
          <w:rFonts w:ascii="Calibri" w:hAnsi="Calibri"/>
          <w:color w:val="000000"/>
          <w:sz w:val="22"/>
          <w:szCs w:val="22"/>
        </w:rPr>
        <w:t xml:space="preserve"> etc.); </w:t>
      </w:r>
    </w:p>
    <w:p w:rsidR="003C573C" w:rsidRDefault="00CA3230" w:rsidP="003C573C">
      <w:pPr>
        <w:autoSpaceDE w:val="0"/>
        <w:autoSpaceDN w:val="0"/>
        <w:adjustRightInd w:val="0"/>
        <w:ind w:left="720"/>
        <w:rPr>
          <w:rFonts w:ascii="Calibri" w:hAnsi="Calibri"/>
          <w:color w:val="000000"/>
          <w:sz w:val="22"/>
          <w:szCs w:val="22"/>
        </w:rPr>
      </w:pPr>
      <w:r>
        <w:rPr>
          <w:rFonts w:ascii="Calibri" w:hAnsi="Calibri"/>
          <w:color w:val="000000"/>
          <w:sz w:val="22"/>
          <w:szCs w:val="22"/>
        </w:rPr>
        <w:t>3. Pre</w:t>
      </w:r>
      <w:r w:rsidR="006C4105">
        <w:rPr>
          <w:rFonts w:ascii="Calibri" w:hAnsi="Calibri"/>
          <w:color w:val="000000"/>
          <w:sz w:val="22"/>
          <w:szCs w:val="22"/>
        </w:rPr>
        <w:t>-identify</w:t>
      </w:r>
      <w:r w:rsidRPr="00CA3230">
        <w:rPr>
          <w:rFonts w:ascii="Calibri" w:hAnsi="Calibri"/>
          <w:color w:val="000000"/>
          <w:sz w:val="22"/>
          <w:szCs w:val="22"/>
        </w:rPr>
        <w:t xml:space="preserve"> tools, talking points, FAQ sheets, for e</w:t>
      </w:r>
      <w:r w:rsidR="00890203">
        <w:rPr>
          <w:rFonts w:ascii="Calibri" w:hAnsi="Calibri"/>
          <w:color w:val="000000"/>
          <w:sz w:val="22"/>
          <w:szCs w:val="22"/>
        </w:rPr>
        <w:t xml:space="preserve">ffective external communication; </w:t>
      </w:r>
    </w:p>
    <w:p w:rsidR="00CA3230" w:rsidRDefault="00CA3230" w:rsidP="003C573C">
      <w:pPr>
        <w:autoSpaceDE w:val="0"/>
        <w:autoSpaceDN w:val="0"/>
        <w:adjustRightInd w:val="0"/>
        <w:spacing w:after="120"/>
        <w:ind w:left="720"/>
        <w:rPr>
          <w:rFonts w:ascii="Calibri" w:hAnsi="Calibri"/>
          <w:color w:val="000000"/>
          <w:sz w:val="22"/>
          <w:szCs w:val="22"/>
        </w:rPr>
      </w:pPr>
      <w:r>
        <w:rPr>
          <w:rFonts w:ascii="Calibri" w:hAnsi="Calibri"/>
          <w:color w:val="000000"/>
          <w:sz w:val="22"/>
          <w:szCs w:val="22"/>
        </w:rPr>
        <w:t>4. Develop p</w:t>
      </w:r>
      <w:r w:rsidRPr="00CA3230">
        <w:rPr>
          <w:rFonts w:ascii="Calibri" w:hAnsi="Calibri"/>
          <w:color w:val="000000"/>
          <w:sz w:val="22"/>
          <w:szCs w:val="22"/>
        </w:rPr>
        <w:t>olicy on timing of communication (Liaison).</w:t>
      </w:r>
    </w:p>
    <w:p w:rsidR="00CA3230" w:rsidRPr="00D1678B" w:rsidRDefault="00CA3230" w:rsidP="002F2225">
      <w:pPr>
        <w:autoSpaceDE w:val="0"/>
        <w:autoSpaceDN w:val="0"/>
        <w:adjustRightInd w:val="0"/>
        <w:spacing w:after="120"/>
        <w:rPr>
          <w:rFonts w:ascii="Calibri" w:hAnsi="Calibri"/>
          <w:i/>
          <w:sz w:val="22"/>
          <w:szCs w:val="22"/>
        </w:rPr>
      </w:pPr>
      <w:r w:rsidRPr="00D1678B">
        <w:rPr>
          <w:rFonts w:ascii="Calibri" w:hAnsi="Calibri"/>
          <w:b/>
          <w:sz w:val="22"/>
          <w:szCs w:val="22"/>
        </w:rPr>
        <w:t>Tribal Engagement</w:t>
      </w:r>
      <w:r w:rsidRPr="00D1678B">
        <w:rPr>
          <w:rFonts w:ascii="Calibri" w:hAnsi="Calibri"/>
          <w:sz w:val="22"/>
          <w:szCs w:val="22"/>
        </w:rPr>
        <w:t xml:space="preserve"> </w:t>
      </w:r>
    </w:p>
    <w:p w:rsidR="003C573C" w:rsidRDefault="00CA3230" w:rsidP="003C573C">
      <w:pPr>
        <w:ind w:left="720"/>
        <w:rPr>
          <w:rFonts w:ascii="Calibri" w:hAnsi="Calibri"/>
          <w:color w:val="000000"/>
          <w:sz w:val="22"/>
          <w:szCs w:val="22"/>
        </w:rPr>
      </w:pPr>
      <w:r w:rsidRPr="00CA3230">
        <w:rPr>
          <w:rFonts w:ascii="Calibri" w:hAnsi="Calibri"/>
          <w:color w:val="000000"/>
          <w:sz w:val="22"/>
          <w:szCs w:val="22"/>
        </w:rPr>
        <w:t>1. Create a clear process for tribes to join the RRT, RRT expectations of tribal participation</w:t>
      </w:r>
      <w:r w:rsidR="00890203">
        <w:rPr>
          <w:rFonts w:ascii="Calibri" w:hAnsi="Calibri"/>
          <w:color w:val="000000"/>
          <w:sz w:val="22"/>
          <w:szCs w:val="22"/>
        </w:rPr>
        <w:t xml:space="preserve">; </w:t>
      </w:r>
    </w:p>
    <w:p w:rsidR="003C573C" w:rsidRDefault="00CA3230" w:rsidP="003C573C">
      <w:pPr>
        <w:ind w:left="720"/>
        <w:rPr>
          <w:rFonts w:ascii="Calibri" w:hAnsi="Calibri"/>
          <w:color w:val="000000"/>
          <w:sz w:val="22"/>
          <w:szCs w:val="22"/>
        </w:rPr>
      </w:pPr>
      <w:r w:rsidRPr="00CA3230">
        <w:rPr>
          <w:rFonts w:ascii="Calibri" w:hAnsi="Calibri"/>
          <w:color w:val="000000"/>
          <w:sz w:val="22"/>
          <w:szCs w:val="22"/>
        </w:rPr>
        <w:t>2. Create a Tribal Integration Strategy: identify short- and long-term goals and objectives for tribal engagement and sovereign interests; capture on-going tribal engagement efforts to identify effective strategies and gaps; include best practices and recommendations for future actions for improving tribal involvement</w:t>
      </w:r>
      <w:r w:rsidR="00890203">
        <w:rPr>
          <w:rFonts w:ascii="Calibri" w:hAnsi="Calibri"/>
          <w:color w:val="000000"/>
          <w:sz w:val="22"/>
          <w:szCs w:val="22"/>
        </w:rPr>
        <w:t xml:space="preserve">; </w:t>
      </w:r>
    </w:p>
    <w:p w:rsidR="00CA3230" w:rsidRPr="00CA3230" w:rsidRDefault="00CA3230" w:rsidP="002F2225">
      <w:pPr>
        <w:spacing w:after="120"/>
        <w:ind w:left="720"/>
        <w:rPr>
          <w:rFonts w:ascii="Calibri" w:hAnsi="Calibri"/>
          <w:color w:val="000000"/>
          <w:sz w:val="22"/>
          <w:szCs w:val="22"/>
        </w:rPr>
      </w:pPr>
      <w:r w:rsidRPr="00CA3230">
        <w:rPr>
          <w:rFonts w:ascii="Calibri" w:hAnsi="Calibri"/>
          <w:color w:val="000000"/>
          <w:sz w:val="22"/>
          <w:szCs w:val="22"/>
        </w:rPr>
        <w:t xml:space="preserve">3. Update tribal policy in NWACP </w:t>
      </w:r>
    </w:p>
    <w:p w:rsidR="00653595" w:rsidRDefault="00653595" w:rsidP="002F2225">
      <w:pPr>
        <w:autoSpaceDE w:val="0"/>
        <w:autoSpaceDN w:val="0"/>
        <w:adjustRightInd w:val="0"/>
        <w:spacing w:after="120"/>
        <w:rPr>
          <w:rFonts w:ascii="Calibri" w:hAnsi="Calibri"/>
          <w:b/>
          <w:sz w:val="22"/>
          <w:szCs w:val="22"/>
        </w:rPr>
      </w:pPr>
    </w:p>
    <w:p w:rsidR="00CA3230" w:rsidRPr="00D1678B" w:rsidRDefault="00CA3230" w:rsidP="002F2225">
      <w:pPr>
        <w:autoSpaceDE w:val="0"/>
        <w:autoSpaceDN w:val="0"/>
        <w:adjustRightInd w:val="0"/>
        <w:spacing w:after="120"/>
        <w:rPr>
          <w:rFonts w:ascii="Calibri" w:hAnsi="Calibri"/>
          <w:i/>
          <w:sz w:val="22"/>
          <w:szCs w:val="22"/>
        </w:rPr>
      </w:pPr>
      <w:r w:rsidRPr="00D1678B">
        <w:rPr>
          <w:rFonts w:ascii="Calibri" w:hAnsi="Calibri"/>
          <w:b/>
          <w:sz w:val="22"/>
          <w:szCs w:val="22"/>
        </w:rPr>
        <w:lastRenderedPageBreak/>
        <w:t>Air Monitoring for Community Safety</w:t>
      </w:r>
      <w:r w:rsidRPr="00D1678B">
        <w:rPr>
          <w:rFonts w:ascii="Calibri" w:hAnsi="Calibri"/>
          <w:sz w:val="22"/>
          <w:szCs w:val="22"/>
        </w:rPr>
        <w:t xml:space="preserve"> </w:t>
      </w:r>
    </w:p>
    <w:p w:rsidR="00CA3230" w:rsidRPr="00D1678B" w:rsidRDefault="00CA3230" w:rsidP="002F2225">
      <w:pPr>
        <w:autoSpaceDE w:val="0"/>
        <w:autoSpaceDN w:val="0"/>
        <w:adjustRightInd w:val="0"/>
        <w:spacing w:after="120"/>
        <w:ind w:left="720"/>
        <w:rPr>
          <w:rFonts w:ascii="Calibri" w:hAnsi="Calibri"/>
          <w:sz w:val="22"/>
          <w:szCs w:val="22"/>
        </w:rPr>
      </w:pPr>
      <w:r w:rsidRPr="00CA3230">
        <w:rPr>
          <w:rFonts w:ascii="Calibri" w:hAnsi="Calibri"/>
          <w:color w:val="000000"/>
          <w:sz w:val="22"/>
          <w:szCs w:val="22"/>
        </w:rPr>
        <w:t>1. Identify private and government air monitoring capability and how those will be coordinat</w:t>
      </w:r>
      <w:r w:rsidR="00890203">
        <w:rPr>
          <w:rFonts w:ascii="Calibri" w:hAnsi="Calibri"/>
          <w:color w:val="000000"/>
          <w:sz w:val="22"/>
          <w:szCs w:val="22"/>
        </w:rPr>
        <w:t xml:space="preserve">ed for community air monitoring; </w:t>
      </w:r>
      <w:r w:rsidRPr="00CA3230">
        <w:rPr>
          <w:rFonts w:ascii="Calibri" w:hAnsi="Calibri"/>
          <w:color w:val="000000"/>
          <w:sz w:val="22"/>
          <w:szCs w:val="22"/>
        </w:rPr>
        <w:t>2. Identify roles and jurisdictions of Health Departments and Local Air Authorities and how they would integrate into the response.</w:t>
      </w:r>
    </w:p>
    <w:p w:rsidR="00CA3230" w:rsidRPr="00D1678B" w:rsidRDefault="00CA3230" w:rsidP="002F2225">
      <w:pPr>
        <w:autoSpaceDE w:val="0"/>
        <w:autoSpaceDN w:val="0"/>
        <w:adjustRightInd w:val="0"/>
        <w:spacing w:after="120"/>
        <w:rPr>
          <w:rFonts w:ascii="Calibri" w:hAnsi="Calibri"/>
          <w:sz w:val="22"/>
          <w:szCs w:val="22"/>
        </w:rPr>
      </w:pPr>
      <w:r w:rsidRPr="00D1678B">
        <w:rPr>
          <w:rFonts w:ascii="Calibri" w:hAnsi="Calibri"/>
          <w:b/>
          <w:sz w:val="22"/>
          <w:szCs w:val="22"/>
        </w:rPr>
        <w:t>Dispersant Tool Update</w:t>
      </w:r>
      <w:r w:rsidRPr="00D1678B">
        <w:rPr>
          <w:rFonts w:ascii="Calibri" w:hAnsi="Calibri"/>
          <w:sz w:val="22"/>
          <w:szCs w:val="22"/>
        </w:rPr>
        <w:t xml:space="preserve"> </w:t>
      </w:r>
    </w:p>
    <w:p w:rsidR="00CA3230" w:rsidRPr="00D1678B" w:rsidRDefault="00CA3230" w:rsidP="002F2225">
      <w:pPr>
        <w:spacing w:after="120"/>
        <w:ind w:left="720"/>
        <w:rPr>
          <w:rFonts w:ascii="Calibri" w:hAnsi="Calibri"/>
          <w:sz w:val="22"/>
          <w:szCs w:val="22"/>
        </w:rPr>
      </w:pPr>
      <w:r w:rsidRPr="00CA3230">
        <w:rPr>
          <w:rFonts w:ascii="Calibri" w:hAnsi="Calibri"/>
          <w:color w:val="000000"/>
          <w:sz w:val="22"/>
          <w:szCs w:val="22"/>
        </w:rPr>
        <w:t xml:space="preserve">1. Revise dispersant memo and checklist. Include info that clarifies how we pick a dispersant and include </w:t>
      </w:r>
      <w:r w:rsidR="00890203">
        <w:rPr>
          <w:rFonts w:ascii="Calibri" w:hAnsi="Calibri"/>
          <w:color w:val="000000"/>
          <w:sz w:val="22"/>
          <w:szCs w:val="22"/>
        </w:rPr>
        <w:t xml:space="preserve">the required testing protocols; </w:t>
      </w:r>
      <w:r w:rsidRPr="00CA3230">
        <w:rPr>
          <w:rFonts w:ascii="Calibri" w:hAnsi="Calibri"/>
          <w:color w:val="000000"/>
          <w:sz w:val="22"/>
          <w:szCs w:val="22"/>
        </w:rPr>
        <w:t>2. Create/update the map that shows dispersant use zones (case by case and PS and Straits)</w:t>
      </w:r>
    </w:p>
    <w:p w:rsidR="009D0513" w:rsidRPr="00D1678B" w:rsidRDefault="009D0513" w:rsidP="002F2225">
      <w:pPr>
        <w:autoSpaceDE w:val="0"/>
        <w:autoSpaceDN w:val="0"/>
        <w:adjustRightInd w:val="0"/>
        <w:spacing w:after="120"/>
        <w:rPr>
          <w:rFonts w:ascii="Calibri" w:hAnsi="Calibri"/>
          <w:sz w:val="22"/>
          <w:szCs w:val="22"/>
        </w:rPr>
      </w:pPr>
    </w:p>
    <w:p w:rsidR="00B2058D" w:rsidRPr="00D1678B" w:rsidRDefault="00B2058D" w:rsidP="002F2225">
      <w:pPr>
        <w:autoSpaceDE w:val="0"/>
        <w:autoSpaceDN w:val="0"/>
        <w:adjustRightInd w:val="0"/>
        <w:spacing w:after="120"/>
        <w:rPr>
          <w:rFonts w:ascii="Calibri" w:hAnsi="Calibri"/>
          <w:sz w:val="22"/>
          <w:szCs w:val="22"/>
          <w:u w:val="single"/>
        </w:rPr>
      </w:pPr>
      <w:r w:rsidRPr="00D1678B">
        <w:rPr>
          <w:rFonts w:ascii="Calibri" w:hAnsi="Calibri"/>
          <w:sz w:val="22"/>
          <w:szCs w:val="22"/>
          <w:u w:val="single"/>
        </w:rPr>
        <w:t xml:space="preserve">The following </w:t>
      </w:r>
      <w:r w:rsidR="009D0513" w:rsidRPr="00D1678B">
        <w:rPr>
          <w:rFonts w:ascii="Calibri" w:hAnsi="Calibri"/>
          <w:sz w:val="22"/>
          <w:szCs w:val="22"/>
          <w:u w:val="single"/>
        </w:rPr>
        <w:t xml:space="preserve">pieces of proposed TF </w:t>
      </w:r>
      <w:r w:rsidRPr="00D1678B">
        <w:rPr>
          <w:rFonts w:ascii="Calibri" w:hAnsi="Calibri"/>
          <w:sz w:val="22"/>
          <w:szCs w:val="22"/>
          <w:u w:val="single"/>
        </w:rPr>
        <w:t>work will be done by individual agencies or the RRT10/NWAC outside the TF structure:</w:t>
      </w:r>
    </w:p>
    <w:p w:rsidR="00CA3230" w:rsidRPr="00D1678B" w:rsidRDefault="00CA3230" w:rsidP="002F2225">
      <w:pPr>
        <w:autoSpaceDE w:val="0"/>
        <w:autoSpaceDN w:val="0"/>
        <w:adjustRightInd w:val="0"/>
        <w:spacing w:after="120"/>
        <w:rPr>
          <w:rFonts w:ascii="Calibri" w:hAnsi="Calibri"/>
          <w:sz w:val="22"/>
          <w:szCs w:val="22"/>
        </w:rPr>
      </w:pPr>
      <w:r w:rsidRPr="00D1678B">
        <w:rPr>
          <w:rFonts w:ascii="Calibri" w:hAnsi="Calibri"/>
          <w:i/>
          <w:sz w:val="22"/>
          <w:szCs w:val="22"/>
        </w:rPr>
        <w:t xml:space="preserve">Transboundary </w:t>
      </w:r>
      <w:r w:rsidR="002F2225" w:rsidRPr="00D1678B">
        <w:rPr>
          <w:rFonts w:ascii="Calibri" w:hAnsi="Calibri"/>
          <w:i/>
          <w:sz w:val="22"/>
          <w:szCs w:val="22"/>
        </w:rPr>
        <w:t>Planning Explanation</w:t>
      </w:r>
      <w:r w:rsidRPr="00D1678B">
        <w:rPr>
          <w:rFonts w:ascii="Calibri" w:hAnsi="Calibri"/>
          <w:sz w:val="22"/>
          <w:szCs w:val="22"/>
        </w:rPr>
        <w:t xml:space="preserve"> –</w:t>
      </w:r>
      <w:r w:rsidR="009D0513" w:rsidRPr="00D1678B">
        <w:rPr>
          <w:rFonts w:ascii="Calibri" w:hAnsi="Calibri"/>
          <w:sz w:val="22"/>
          <w:szCs w:val="22"/>
        </w:rPr>
        <w:t xml:space="preserve"> </w:t>
      </w:r>
      <w:r w:rsidRPr="00CA3230">
        <w:rPr>
          <w:rFonts w:ascii="Calibri" w:hAnsi="Calibri"/>
          <w:sz w:val="22"/>
          <w:szCs w:val="22"/>
        </w:rPr>
        <w:t xml:space="preserve">Add language to the NWACP to better explain the coordination structures established by the </w:t>
      </w:r>
      <w:proofErr w:type="spellStart"/>
      <w:r w:rsidRPr="00CA3230">
        <w:rPr>
          <w:rFonts w:ascii="Calibri" w:hAnsi="Calibri"/>
          <w:sz w:val="22"/>
          <w:szCs w:val="22"/>
        </w:rPr>
        <w:t>CANUSWest</w:t>
      </w:r>
      <w:proofErr w:type="spellEnd"/>
      <w:r w:rsidRPr="00CA3230">
        <w:rPr>
          <w:rFonts w:ascii="Calibri" w:hAnsi="Calibri"/>
          <w:sz w:val="22"/>
          <w:szCs w:val="22"/>
        </w:rPr>
        <w:t xml:space="preserve"> and CANUSPAC Annexes.</w:t>
      </w:r>
      <w:r w:rsidR="009D0513">
        <w:rPr>
          <w:rFonts w:ascii="Calibri" w:hAnsi="Calibri"/>
          <w:sz w:val="22"/>
          <w:szCs w:val="22"/>
        </w:rPr>
        <w:t xml:space="preserve">  Assigned to Steering Committee.</w:t>
      </w:r>
    </w:p>
    <w:p w:rsidR="00113849" w:rsidRDefault="00113849" w:rsidP="002F2225">
      <w:pPr>
        <w:autoSpaceDE w:val="0"/>
        <w:autoSpaceDN w:val="0"/>
        <w:adjustRightInd w:val="0"/>
        <w:spacing w:after="120"/>
        <w:rPr>
          <w:rFonts w:ascii="Calibri" w:hAnsi="Calibri"/>
          <w:sz w:val="22"/>
          <w:szCs w:val="22"/>
        </w:rPr>
      </w:pPr>
      <w:r w:rsidRPr="009D0513">
        <w:rPr>
          <w:rFonts w:ascii="Calibri" w:hAnsi="Calibri"/>
          <w:i/>
          <w:sz w:val="22"/>
          <w:szCs w:val="22"/>
        </w:rPr>
        <w:t>GRP Usability</w:t>
      </w:r>
      <w:r>
        <w:rPr>
          <w:rFonts w:ascii="Calibri" w:hAnsi="Calibri"/>
          <w:sz w:val="22"/>
          <w:szCs w:val="22"/>
        </w:rPr>
        <w:t xml:space="preserve"> – </w:t>
      </w:r>
      <w:r w:rsidRPr="00113849">
        <w:rPr>
          <w:rFonts w:ascii="Calibri" w:hAnsi="Calibri"/>
          <w:sz w:val="22"/>
          <w:szCs w:val="22"/>
        </w:rPr>
        <w:t>H</w:t>
      </w:r>
      <w:r w:rsidR="0062105E">
        <w:rPr>
          <w:rFonts w:ascii="Calibri" w:hAnsi="Calibri"/>
          <w:sz w:val="22"/>
          <w:szCs w:val="22"/>
        </w:rPr>
        <w:t>old</w:t>
      </w:r>
      <w:r w:rsidRPr="00113849">
        <w:rPr>
          <w:rFonts w:ascii="Calibri" w:hAnsi="Calibri"/>
          <w:sz w:val="22"/>
          <w:szCs w:val="22"/>
        </w:rPr>
        <w:t xml:space="preserve"> training and conversation between </w:t>
      </w:r>
      <w:r w:rsidR="0062105E">
        <w:rPr>
          <w:rFonts w:ascii="Calibri" w:hAnsi="Calibri"/>
          <w:sz w:val="22"/>
          <w:szCs w:val="22"/>
        </w:rPr>
        <w:t xml:space="preserve">GRP </w:t>
      </w:r>
      <w:r w:rsidRPr="00113849">
        <w:rPr>
          <w:rFonts w:ascii="Calibri" w:hAnsi="Calibri"/>
          <w:sz w:val="22"/>
          <w:szCs w:val="22"/>
        </w:rPr>
        <w:t>users and planners re: new GRP format</w:t>
      </w:r>
      <w:r w:rsidR="0062105E">
        <w:rPr>
          <w:rFonts w:ascii="Calibri" w:hAnsi="Calibri"/>
          <w:sz w:val="22"/>
          <w:szCs w:val="22"/>
        </w:rPr>
        <w:t xml:space="preserve"> in WA</w:t>
      </w:r>
      <w:r w:rsidR="009D0513">
        <w:rPr>
          <w:rFonts w:ascii="Calibri" w:hAnsi="Calibri"/>
          <w:sz w:val="22"/>
          <w:szCs w:val="22"/>
        </w:rPr>
        <w:t>.  Assigned to Ecology, ODEQ and USCG.</w:t>
      </w:r>
    </w:p>
    <w:p w:rsidR="00113849" w:rsidRDefault="00890203" w:rsidP="002F2225">
      <w:pPr>
        <w:autoSpaceDE w:val="0"/>
        <w:autoSpaceDN w:val="0"/>
        <w:adjustRightInd w:val="0"/>
        <w:spacing w:after="120"/>
        <w:rPr>
          <w:rFonts w:ascii="Calibri" w:hAnsi="Calibri"/>
          <w:sz w:val="22"/>
          <w:szCs w:val="22"/>
        </w:rPr>
      </w:pPr>
      <w:r w:rsidRPr="009D0513">
        <w:rPr>
          <w:rFonts w:ascii="Calibri" w:hAnsi="Calibri"/>
          <w:i/>
          <w:sz w:val="22"/>
          <w:szCs w:val="22"/>
        </w:rPr>
        <w:t>NWACP</w:t>
      </w:r>
      <w:r w:rsidR="00113849" w:rsidRPr="009D0513">
        <w:rPr>
          <w:rFonts w:ascii="Calibri" w:hAnsi="Calibri"/>
          <w:i/>
          <w:sz w:val="22"/>
          <w:szCs w:val="22"/>
        </w:rPr>
        <w:t xml:space="preserve"> Improvement</w:t>
      </w:r>
      <w:r w:rsidR="00113849">
        <w:rPr>
          <w:rFonts w:ascii="Calibri" w:hAnsi="Calibri"/>
          <w:sz w:val="22"/>
          <w:szCs w:val="22"/>
        </w:rPr>
        <w:t xml:space="preserve"> – </w:t>
      </w:r>
      <w:r w:rsidR="00113849" w:rsidRPr="00113849">
        <w:rPr>
          <w:rFonts w:ascii="Calibri" w:hAnsi="Calibri"/>
          <w:sz w:val="22"/>
          <w:szCs w:val="22"/>
        </w:rPr>
        <w:t>Address remaining comments from technical editor</w:t>
      </w:r>
      <w:r w:rsidR="00113849">
        <w:rPr>
          <w:rFonts w:ascii="Calibri" w:hAnsi="Calibri"/>
          <w:sz w:val="22"/>
          <w:szCs w:val="22"/>
        </w:rPr>
        <w:t>.</w:t>
      </w:r>
      <w:r w:rsidR="009D0513">
        <w:rPr>
          <w:rFonts w:ascii="Calibri" w:hAnsi="Calibri"/>
          <w:sz w:val="22"/>
          <w:szCs w:val="22"/>
        </w:rPr>
        <w:t xml:space="preserve">  Assigned to Steering Committee.</w:t>
      </w:r>
    </w:p>
    <w:p w:rsidR="00113849" w:rsidRPr="00D1678B" w:rsidRDefault="00113849" w:rsidP="002F2225">
      <w:pPr>
        <w:autoSpaceDE w:val="0"/>
        <w:autoSpaceDN w:val="0"/>
        <w:adjustRightInd w:val="0"/>
        <w:spacing w:after="120"/>
        <w:rPr>
          <w:rFonts w:ascii="Calibri" w:hAnsi="Calibri"/>
          <w:sz w:val="22"/>
          <w:szCs w:val="22"/>
        </w:rPr>
      </w:pPr>
      <w:r w:rsidRPr="009D0513">
        <w:rPr>
          <w:rFonts w:ascii="Calibri" w:hAnsi="Calibri"/>
          <w:i/>
          <w:sz w:val="22"/>
          <w:szCs w:val="22"/>
        </w:rPr>
        <w:t>SCAT Segmentation</w:t>
      </w:r>
      <w:r>
        <w:rPr>
          <w:rFonts w:ascii="Calibri" w:hAnsi="Calibri"/>
          <w:sz w:val="22"/>
          <w:szCs w:val="22"/>
        </w:rPr>
        <w:t xml:space="preserve"> – </w:t>
      </w:r>
      <w:r w:rsidR="0062105E">
        <w:rPr>
          <w:rFonts w:ascii="Calibri" w:hAnsi="Calibri"/>
          <w:sz w:val="22"/>
          <w:szCs w:val="22"/>
        </w:rPr>
        <w:t>Maintain connection to</w:t>
      </w:r>
      <w:r w:rsidRPr="00113849">
        <w:rPr>
          <w:rFonts w:ascii="Calibri" w:hAnsi="Calibri"/>
          <w:sz w:val="22"/>
          <w:szCs w:val="22"/>
        </w:rPr>
        <w:t xml:space="preserve"> this evolving process to include volu</w:t>
      </w:r>
      <w:r>
        <w:rPr>
          <w:rFonts w:ascii="Calibri" w:hAnsi="Calibri"/>
          <w:sz w:val="22"/>
          <w:szCs w:val="22"/>
        </w:rPr>
        <w:t>n</w:t>
      </w:r>
      <w:r w:rsidRPr="00113849">
        <w:rPr>
          <w:rFonts w:ascii="Calibri" w:hAnsi="Calibri"/>
          <w:sz w:val="22"/>
          <w:szCs w:val="22"/>
        </w:rPr>
        <w:t>teers in pre-spill planning</w:t>
      </w:r>
      <w:r w:rsidR="009D0513">
        <w:rPr>
          <w:rFonts w:ascii="Calibri" w:hAnsi="Calibri"/>
          <w:sz w:val="22"/>
          <w:szCs w:val="22"/>
        </w:rPr>
        <w:t>. Assigned to Ecology.</w:t>
      </w:r>
    </w:p>
    <w:p w:rsidR="00E30AF1" w:rsidRDefault="00113849" w:rsidP="002F2225">
      <w:pPr>
        <w:autoSpaceDE w:val="0"/>
        <w:autoSpaceDN w:val="0"/>
        <w:adjustRightInd w:val="0"/>
        <w:spacing w:after="120"/>
        <w:rPr>
          <w:rFonts w:ascii="Calibri" w:hAnsi="Calibri"/>
          <w:sz w:val="22"/>
          <w:szCs w:val="22"/>
        </w:rPr>
      </w:pPr>
      <w:r w:rsidRPr="00D1678B">
        <w:rPr>
          <w:rFonts w:ascii="Calibri" w:hAnsi="Calibri"/>
          <w:i/>
          <w:sz w:val="22"/>
          <w:szCs w:val="22"/>
        </w:rPr>
        <w:t>Rail Response Outreach</w:t>
      </w:r>
      <w:r w:rsidRPr="00D1678B">
        <w:rPr>
          <w:rFonts w:ascii="Calibri" w:hAnsi="Calibri"/>
          <w:sz w:val="22"/>
          <w:szCs w:val="22"/>
        </w:rPr>
        <w:t xml:space="preserve"> – </w:t>
      </w:r>
      <w:r w:rsidR="00443559" w:rsidRPr="00443559">
        <w:rPr>
          <w:rFonts w:ascii="Calibri" w:hAnsi="Calibri"/>
          <w:sz w:val="22"/>
          <w:szCs w:val="22"/>
        </w:rPr>
        <w:t xml:space="preserve">Public outreach &amp; education about rail hazmat and </w:t>
      </w:r>
      <w:r w:rsidR="009D0513">
        <w:rPr>
          <w:rFonts w:ascii="Calibri" w:hAnsi="Calibri"/>
          <w:sz w:val="22"/>
          <w:szCs w:val="22"/>
        </w:rPr>
        <w:t xml:space="preserve">oil </w:t>
      </w:r>
      <w:r w:rsidR="00443559" w:rsidRPr="00443559">
        <w:rPr>
          <w:rFonts w:ascii="Calibri" w:hAnsi="Calibri"/>
          <w:sz w:val="22"/>
          <w:szCs w:val="22"/>
        </w:rPr>
        <w:t xml:space="preserve">response. </w:t>
      </w:r>
      <w:r w:rsidR="0062105E">
        <w:rPr>
          <w:rFonts w:ascii="Calibri" w:hAnsi="Calibri"/>
          <w:sz w:val="22"/>
          <w:szCs w:val="22"/>
        </w:rPr>
        <w:t>At a NW Area Committee Meeting, host a p</w:t>
      </w:r>
      <w:r w:rsidR="00443559" w:rsidRPr="00443559">
        <w:rPr>
          <w:rFonts w:ascii="Calibri" w:hAnsi="Calibri"/>
          <w:sz w:val="22"/>
          <w:szCs w:val="22"/>
        </w:rPr>
        <w:t xml:space="preserve">anel discussion </w:t>
      </w:r>
      <w:r w:rsidR="0062105E">
        <w:rPr>
          <w:rFonts w:ascii="Calibri" w:hAnsi="Calibri"/>
          <w:sz w:val="22"/>
          <w:szCs w:val="22"/>
        </w:rPr>
        <w:t xml:space="preserve">to </w:t>
      </w:r>
      <w:r w:rsidR="00443559" w:rsidRPr="00443559">
        <w:rPr>
          <w:rFonts w:ascii="Calibri" w:hAnsi="Calibri"/>
          <w:sz w:val="22"/>
          <w:szCs w:val="22"/>
        </w:rPr>
        <w:t xml:space="preserve">walking </w:t>
      </w:r>
      <w:r w:rsidR="0062105E">
        <w:rPr>
          <w:rFonts w:ascii="Calibri" w:hAnsi="Calibri"/>
          <w:sz w:val="22"/>
          <w:szCs w:val="22"/>
        </w:rPr>
        <w:t>attendees</w:t>
      </w:r>
      <w:r w:rsidR="00443559" w:rsidRPr="00443559">
        <w:rPr>
          <w:rFonts w:ascii="Calibri" w:hAnsi="Calibri"/>
          <w:sz w:val="22"/>
          <w:szCs w:val="22"/>
        </w:rPr>
        <w:t xml:space="preserve"> through a </w:t>
      </w:r>
      <w:r w:rsidR="0062105E">
        <w:rPr>
          <w:rFonts w:ascii="Calibri" w:hAnsi="Calibri"/>
          <w:sz w:val="22"/>
          <w:szCs w:val="22"/>
        </w:rPr>
        <w:t>mixed freight train derailment scenario.</w:t>
      </w:r>
      <w:r w:rsidR="00443559" w:rsidRPr="00443559">
        <w:rPr>
          <w:rFonts w:ascii="Calibri" w:hAnsi="Calibri"/>
          <w:sz w:val="22"/>
          <w:szCs w:val="22"/>
        </w:rPr>
        <w:t xml:space="preserve"> </w:t>
      </w:r>
      <w:r w:rsidR="0062105E">
        <w:rPr>
          <w:rFonts w:ascii="Calibri" w:hAnsi="Calibri"/>
          <w:sz w:val="22"/>
          <w:szCs w:val="22"/>
        </w:rPr>
        <w:t xml:space="preserve">Cover the differences between an urban derailment vs a rural derailment.  </w:t>
      </w:r>
      <w:r w:rsidR="00443559" w:rsidRPr="00443559">
        <w:rPr>
          <w:rFonts w:ascii="Calibri" w:hAnsi="Calibri"/>
          <w:sz w:val="22"/>
          <w:szCs w:val="22"/>
        </w:rPr>
        <w:t>Invite environmental groups &amp; citizens.</w:t>
      </w:r>
      <w:r w:rsidR="009D0513">
        <w:rPr>
          <w:rFonts w:ascii="Calibri" w:hAnsi="Calibri"/>
          <w:sz w:val="22"/>
          <w:szCs w:val="22"/>
        </w:rPr>
        <w:t xml:space="preserve">  </w:t>
      </w:r>
      <w:r w:rsidR="009D0513" w:rsidRPr="009D0513">
        <w:rPr>
          <w:rFonts w:ascii="Calibri" w:hAnsi="Calibri"/>
          <w:sz w:val="22"/>
          <w:szCs w:val="22"/>
        </w:rPr>
        <w:t>Assigned to Steering Committee</w:t>
      </w:r>
      <w:r w:rsidR="009D0513">
        <w:rPr>
          <w:rFonts w:ascii="Calibri" w:hAnsi="Calibri"/>
          <w:sz w:val="22"/>
          <w:szCs w:val="22"/>
        </w:rPr>
        <w:t>.</w:t>
      </w:r>
    </w:p>
    <w:p w:rsidR="00A415EF" w:rsidRDefault="00A415EF" w:rsidP="002F2225">
      <w:pPr>
        <w:autoSpaceDE w:val="0"/>
        <w:autoSpaceDN w:val="0"/>
        <w:adjustRightInd w:val="0"/>
        <w:spacing w:after="120"/>
        <w:rPr>
          <w:rFonts w:ascii="Calibri" w:hAnsi="Calibri"/>
          <w:sz w:val="22"/>
          <w:szCs w:val="22"/>
        </w:rPr>
      </w:pPr>
      <w:r w:rsidRPr="00A415EF">
        <w:rPr>
          <w:rFonts w:ascii="Calibri" w:hAnsi="Calibri"/>
          <w:i/>
          <w:sz w:val="22"/>
          <w:szCs w:val="22"/>
        </w:rPr>
        <w:t>Risk Analysis Incorporation</w:t>
      </w:r>
      <w:r>
        <w:rPr>
          <w:rFonts w:ascii="Calibri" w:hAnsi="Calibri"/>
          <w:sz w:val="22"/>
          <w:szCs w:val="22"/>
        </w:rPr>
        <w:t xml:space="preserve"> – Invite authors of risk studies to present at NW Area Committee meetings.  Assigned to Steering Committee.</w:t>
      </w:r>
    </w:p>
    <w:p w:rsidR="00890203" w:rsidRDefault="00890203" w:rsidP="002F2225">
      <w:pPr>
        <w:autoSpaceDE w:val="0"/>
        <w:autoSpaceDN w:val="0"/>
        <w:adjustRightInd w:val="0"/>
        <w:spacing w:after="120"/>
        <w:rPr>
          <w:rFonts w:ascii="Calibri" w:hAnsi="Calibri"/>
          <w:sz w:val="22"/>
          <w:szCs w:val="22"/>
        </w:rPr>
      </w:pPr>
    </w:p>
    <w:p w:rsidR="009D0513" w:rsidRPr="00D1678B" w:rsidRDefault="00890203" w:rsidP="002F2225">
      <w:pPr>
        <w:autoSpaceDE w:val="0"/>
        <w:autoSpaceDN w:val="0"/>
        <w:adjustRightInd w:val="0"/>
        <w:spacing w:after="120"/>
        <w:rPr>
          <w:rFonts w:ascii="Calibri" w:hAnsi="Calibri"/>
          <w:sz w:val="22"/>
          <w:szCs w:val="22"/>
          <w:u w:val="single"/>
        </w:rPr>
      </w:pPr>
      <w:r w:rsidRPr="00D1678B">
        <w:rPr>
          <w:rFonts w:ascii="Calibri" w:hAnsi="Calibri"/>
          <w:sz w:val="22"/>
          <w:szCs w:val="22"/>
          <w:u w:val="single"/>
        </w:rPr>
        <w:t>The following issues will not be addressed in 2016.</w:t>
      </w:r>
      <w:r w:rsidRPr="00D1678B">
        <w:rPr>
          <w:rFonts w:ascii="Calibri" w:hAnsi="Calibri"/>
          <w:sz w:val="22"/>
          <w:szCs w:val="22"/>
        </w:rPr>
        <w:t xml:space="preserve">  </w:t>
      </w:r>
      <w:r w:rsidR="0062105E">
        <w:rPr>
          <w:rFonts w:ascii="Calibri" w:hAnsi="Calibri"/>
          <w:sz w:val="22"/>
          <w:szCs w:val="22"/>
        </w:rPr>
        <w:t xml:space="preserve">Although they all add benefit, the following issues were not a high enough priority to be selected for 2016.  Any additional information NWAC leaders used to determine importance are included below with each topic that wasn’t selected. </w:t>
      </w:r>
    </w:p>
    <w:p w:rsidR="00890203" w:rsidRDefault="009D0513" w:rsidP="002F2225">
      <w:pPr>
        <w:autoSpaceDE w:val="0"/>
        <w:autoSpaceDN w:val="0"/>
        <w:adjustRightInd w:val="0"/>
        <w:spacing w:after="120"/>
        <w:rPr>
          <w:rFonts w:ascii="Calibri" w:hAnsi="Calibri"/>
          <w:sz w:val="22"/>
          <w:szCs w:val="22"/>
        </w:rPr>
      </w:pPr>
      <w:r w:rsidRPr="000B3372">
        <w:rPr>
          <w:rFonts w:ascii="Calibri" w:hAnsi="Calibri"/>
          <w:i/>
          <w:sz w:val="22"/>
          <w:szCs w:val="22"/>
        </w:rPr>
        <w:t>Plan Accessibility</w:t>
      </w:r>
      <w:r>
        <w:rPr>
          <w:rFonts w:ascii="Calibri" w:hAnsi="Calibri"/>
          <w:sz w:val="22"/>
          <w:szCs w:val="22"/>
        </w:rPr>
        <w:t xml:space="preserve"> – </w:t>
      </w:r>
      <w:r w:rsidRPr="004D0F4B">
        <w:rPr>
          <w:rFonts w:ascii="Calibri" w:hAnsi="Calibri"/>
          <w:i/>
          <w:sz w:val="22"/>
          <w:szCs w:val="22"/>
        </w:rPr>
        <w:t xml:space="preserve">Research </w:t>
      </w:r>
      <w:r w:rsidR="00E92825" w:rsidRPr="004D0F4B">
        <w:rPr>
          <w:rFonts w:ascii="Calibri" w:hAnsi="Calibri"/>
          <w:i/>
          <w:sz w:val="22"/>
          <w:szCs w:val="22"/>
        </w:rPr>
        <w:t xml:space="preserve">and recommend </w:t>
      </w:r>
      <w:r w:rsidRPr="004D0F4B">
        <w:rPr>
          <w:rFonts w:ascii="Calibri" w:hAnsi="Calibri"/>
          <w:i/>
          <w:sz w:val="22"/>
          <w:szCs w:val="22"/>
        </w:rPr>
        <w:t>o</w:t>
      </w:r>
      <w:r w:rsidR="00E92825" w:rsidRPr="004D0F4B">
        <w:rPr>
          <w:rFonts w:ascii="Calibri" w:hAnsi="Calibri"/>
          <w:i/>
          <w:sz w:val="22"/>
          <w:szCs w:val="22"/>
        </w:rPr>
        <w:t>ptions for using tablet technology to improve the usability of the NWACP in the field.</w:t>
      </w:r>
      <w:r w:rsidR="00E92825">
        <w:rPr>
          <w:rFonts w:ascii="Calibri" w:hAnsi="Calibri"/>
          <w:sz w:val="22"/>
          <w:szCs w:val="22"/>
        </w:rPr>
        <w:t xml:space="preserve">  The Steering Committee will follow up on recommendations from the technical editor to further ready the NWACP for a transition to an </w:t>
      </w:r>
      <w:proofErr w:type="spellStart"/>
      <w:r w:rsidR="00E92825">
        <w:rPr>
          <w:rFonts w:ascii="Calibri" w:hAnsi="Calibri"/>
          <w:sz w:val="22"/>
          <w:szCs w:val="22"/>
        </w:rPr>
        <w:t>ebook</w:t>
      </w:r>
      <w:proofErr w:type="spellEnd"/>
      <w:r w:rsidR="00E92825">
        <w:rPr>
          <w:rFonts w:ascii="Calibri" w:hAnsi="Calibri"/>
          <w:sz w:val="22"/>
          <w:szCs w:val="22"/>
        </w:rPr>
        <w:t xml:space="preserve"> in the future.</w:t>
      </w:r>
    </w:p>
    <w:p w:rsidR="00E92825" w:rsidRDefault="00E92825" w:rsidP="002F2225">
      <w:pPr>
        <w:autoSpaceDE w:val="0"/>
        <w:autoSpaceDN w:val="0"/>
        <w:adjustRightInd w:val="0"/>
        <w:spacing w:after="120"/>
        <w:rPr>
          <w:rFonts w:ascii="Calibri" w:hAnsi="Calibri"/>
          <w:sz w:val="22"/>
          <w:szCs w:val="22"/>
        </w:rPr>
      </w:pPr>
      <w:r w:rsidRPr="00D1678B">
        <w:rPr>
          <w:rFonts w:ascii="Calibri" w:hAnsi="Calibri"/>
          <w:i/>
          <w:sz w:val="22"/>
          <w:szCs w:val="22"/>
        </w:rPr>
        <w:t>Non-Floating Oil</w:t>
      </w:r>
      <w:r w:rsidRPr="00D1678B">
        <w:rPr>
          <w:rFonts w:ascii="Calibri" w:hAnsi="Calibri"/>
          <w:sz w:val="22"/>
          <w:szCs w:val="22"/>
        </w:rPr>
        <w:t xml:space="preserve"> </w:t>
      </w:r>
      <w:r w:rsidR="004D0F4B">
        <w:rPr>
          <w:rFonts w:ascii="Calibri" w:hAnsi="Calibri"/>
          <w:sz w:val="22"/>
          <w:szCs w:val="22"/>
        </w:rPr>
        <w:t>–</w:t>
      </w:r>
      <w:r w:rsidRPr="00D1678B">
        <w:rPr>
          <w:rFonts w:ascii="Calibri" w:hAnsi="Calibri"/>
          <w:sz w:val="22"/>
          <w:szCs w:val="22"/>
        </w:rPr>
        <w:t xml:space="preserve"> </w:t>
      </w:r>
      <w:r w:rsidR="004D0F4B" w:rsidRPr="004D0F4B">
        <w:rPr>
          <w:rFonts w:ascii="Calibri" w:hAnsi="Calibri"/>
          <w:i/>
          <w:sz w:val="22"/>
          <w:szCs w:val="22"/>
        </w:rPr>
        <w:t>Update the 2012 Emerging Risks White Paper and Section 9412 with information specific to different types of Oil Sands products.</w:t>
      </w:r>
      <w:r w:rsidR="004D0F4B">
        <w:rPr>
          <w:rFonts w:ascii="Calibri" w:hAnsi="Calibri"/>
          <w:sz w:val="22"/>
          <w:szCs w:val="22"/>
        </w:rPr>
        <w:t xml:space="preserve">  Much</w:t>
      </w:r>
      <w:r w:rsidRPr="00E92825">
        <w:rPr>
          <w:rFonts w:ascii="Calibri" w:hAnsi="Calibri"/>
          <w:sz w:val="22"/>
          <w:szCs w:val="22"/>
        </w:rPr>
        <w:t xml:space="preserve"> of this information exists from other sources and a number of other groups are doing work on these subjects.  </w:t>
      </w:r>
      <w:r w:rsidR="004D0F4B">
        <w:rPr>
          <w:rFonts w:ascii="Calibri" w:hAnsi="Calibri"/>
          <w:sz w:val="22"/>
          <w:szCs w:val="22"/>
        </w:rPr>
        <w:t>The added benefit would be compiling it for easy access.  Federal and State responders</w:t>
      </w:r>
      <w:r w:rsidRPr="00E92825">
        <w:rPr>
          <w:rFonts w:ascii="Calibri" w:hAnsi="Calibri"/>
          <w:sz w:val="22"/>
          <w:szCs w:val="22"/>
        </w:rPr>
        <w:t xml:space="preserve"> can access </w:t>
      </w:r>
      <w:r w:rsidR="004D0F4B">
        <w:rPr>
          <w:rFonts w:ascii="Calibri" w:hAnsi="Calibri"/>
          <w:sz w:val="22"/>
          <w:szCs w:val="22"/>
        </w:rPr>
        <w:t xml:space="preserve">the </w:t>
      </w:r>
      <w:r w:rsidRPr="00E92825">
        <w:rPr>
          <w:rFonts w:ascii="Calibri" w:hAnsi="Calibri"/>
          <w:sz w:val="22"/>
          <w:szCs w:val="22"/>
        </w:rPr>
        <w:t>necessary information on the range of the Canadian oil sands types</w:t>
      </w:r>
      <w:r w:rsidR="004D0F4B">
        <w:rPr>
          <w:rFonts w:ascii="Calibri" w:hAnsi="Calibri"/>
          <w:sz w:val="22"/>
          <w:szCs w:val="22"/>
        </w:rPr>
        <w:t xml:space="preserve"> from existing relationships with NOAA</w:t>
      </w:r>
      <w:r w:rsidRPr="00E92825">
        <w:rPr>
          <w:rFonts w:ascii="Calibri" w:hAnsi="Calibri"/>
          <w:sz w:val="22"/>
          <w:szCs w:val="22"/>
        </w:rPr>
        <w:t xml:space="preserve">.  Section 9412 is not oil type specific, it is designed as a tool to address a whole </w:t>
      </w:r>
      <w:r w:rsidRPr="00E92825">
        <w:rPr>
          <w:rFonts w:ascii="Calibri" w:hAnsi="Calibri"/>
          <w:sz w:val="22"/>
          <w:szCs w:val="22"/>
        </w:rPr>
        <w:lastRenderedPageBreak/>
        <w:t>range of non-floating oil types so doesn't need to be adjusted to address specific Can</w:t>
      </w:r>
      <w:r>
        <w:rPr>
          <w:rFonts w:ascii="Calibri" w:hAnsi="Calibri"/>
          <w:sz w:val="22"/>
          <w:szCs w:val="22"/>
        </w:rPr>
        <w:t>adian</w:t>
      </w:r>
      <w:r w:rsidRPr="00E92825">
        <w:rPr>
          <w:rFonts w:ascii="Calibri" w:hAnsi="Calibri"/>
          <w:sz w:val="22"/>
          <w:szCs w:val="22"/>
        </w:rPr>
        <w:t xml:space="preserve"> oil sands types.</w:t>
      </w:r>
    </w:p>
    <w:p w:rsidR="00E92825" w:rsidRDefault="00E92825" w:rsidP="002F2225">
      <w:pPr>
        <w:autoSpaceDE w:val="0"/>
        <w:autoSpaceDN w:val="0"/>
        <w:adjustRightInd w:val="0"/>
        <w:spacing w:after="120"/>
        <w:rPr>
          <w:rFonts w:ascii="Calibri" w:hAnsi="Calibri"/>
          <w:sz w:val="22"/>
          <w:szCs w:val="22"/>
        </w:rPr>
      </w:pPr>
      <w:r w:rsidRPr="000B3372">
        <w:rPr>
          <w:rFonts w:ascii="Calibri" w:hAnsi="Calibri"/>
          <w:i/>
          <w:sz w:val="22"/>
          <w:szCs w:val="22"/>
        </w:rPr>
        <w:t>Risk Analysis Incorporation</w:t>
      </w:r>
      <w:r>
        <w:rPr>
          <w:rFonts w:ascii="Calibri" w:hAnsi="Calibri"/>
          <w:sz w:val="22"/>
          <w:szCs w:val="22"/>
        </w:rPr>
        <w:t xml:space="preserve"> </w:t>
      </w:r>
      <w:r w:rsidR="004D0F4B">
        <w:rPr>
          <w:rFonts w:ascii="Calibri" w:hAnsi="Calibri"/>
          <w:sz w:val="22"/>
          <w:szCs w:val="22"/>
        </w:rPr>
        <w:t>–</w:t>
      </w:r>
      <w:r w:rsidRPr="004D0F4B">
        <w:rPr>
          <w:rFonts w:ascii="Calibri" w:hAnsi="Calibri"/>
          <w:i/>
          <w:sz w:val="22"/>
          <w:szCs w:val="22"/>
        </w:rPr>
        <w:t xml:space="preserve"> </w:t>
      </w:r>
      <w:r w:rsidR="004D0F4B" w:rsidRPr="004D0F4B">
        <w:rPr>
          <w:rFonts w:ascii="Calibri" w:hAnsi="Calibri"/>
          <w:i/>
          <w:sz w:val="22"/>
          <w:szCs w:val="22"/>
        </w:rPr>
        <w:t>Create a list of recommended changes to the NWACP based upon key findings from published studies/reports.</w:t>
      </w:r>
      <w:r w:rsidR="004D0F4B">
        <w:rPr>
          <w:rFonts w:ascii="Calibri" w:hAnsi="Calibri"/>
          <w:sz w:val="22"/>
          <w:szCs w:val="22"/>
        </w:rPr>
        <w:t xml:space="preserve">  Some</w:t>
      </w:r>
      <w:r w:rsidR="00A415EF" w:rsidRPr="00A415EF">
        <w:rPr>
          <w:rFonts w:ascii="Calibri" w:hAnsi="Calibri"/>
          <w:sz w:val="22"/>
          <w:szCs w:val="22"/>
        </w:rPr>
        <w:t xml:space="preserve"> </w:t>
      </w:r>
      <w:r w:rsidR="004D0F4B">
        <w:rPr>
          <w:rFonts w:ascii="Calibri" w:hAnsi="Calibri"/>
          <w:sz w:val="22"/>
          <w:szCs w:val="22"/>
        </w:rPr>
        <w:t xml:space="preserve">NW </w:t>
      </w:r>
      <w:r w:rsidR="00A415EF" w:rsidRPr="00A415EF">
        <w:rPr>
          <w:rFonts w:ascii="Calibri" w:hAnsi="Calibri"/>
          <w:sz w:val="22"/>
          <w:szCs w:val="22"/>
        </w:rPr>
        <w:t xml:space="preserve">Area Committee members </w:t>
      </w:r>
      <w:r w:rsidR="004D0F4B">
        <w:rPr>
          <w:rFonts w:ascii="Calibri" w:hAnsi="Calibri"/>
          <w:sz w:val="22"/>
          <w:szCs w:val="22"/>
        </w:rPr>
        <w:t xml:space="preserve">also </w:t>
      </w:r>
      <w:r w:rsidR="00A415EF" w:rsidRPr="00A415EF">
        <w:rPr>
          <w:rFonts w:ascii="Calibri" w:hAnsi="Calibri"/>
          <w:sz w:val="22"/>
          <w:szCs w:val="22"/>
        </w:rPr>
        <w:t>participate</w:t>
      </w:r>
      <w:r w:rsidR="004D0F4B">
        <w:rPr>
          <w:rFonts w:ascii="Calibri" w:hAnsi="Calibri"/>
          <w:sz w:val="22"/>
          <w:szCs w:val="22"/>
        </w:rPr>
        <w:t xml:space="preserve"> in the Harbor Safety Committee.  This provides </w:t>
      </w:r>
      <w:r w:rsidR="00A415EF" w:rsidRPr="00A415EF">
        <w:rPr>
          <w:rFonts w:ascii="Calibri" w:hAnsi="Calibri"/>
          <w:sz w:val="22"/>
          <w:szCs w:val="22"/>
        </w:rPr>
        <w:t>a pathway for marine transportation reports to inform the Area Committee and guide NWACP updates.</w:t>
      </w:r>
      <w:r w:rsidR="00A415EF">
        <w:rPr>
          <w:rFonts w:ascii="Calibri" w:hAnsi="Calibri"/>
          <w:sz w:val="22"/>
          <w:szCs w:val="22"/>
        </w:rPr>
        <w:t xml:space="preserve">  Additionally, Ecology is currently studying vessel traffic in the Columbia River.</w:t>
      </w:r>
      <w:r w:rsidR="004D0F4B">
        <w:rPr>
          <w:rFonts w:ascii="Calibri" w:hAnsi="Calibri"/>
          <w:sz w:val="22"/>
          <w:szCs w:val="22"/>
        </w:rPr>
        <w:t xml:space="preserve">  Recommended inviting authors of studies to present at NWAC Meetings.</w:t>
      </w:r>
    </w:p>
    <w:p w:rsidR="00A415EF" w:rsidRDefault="00A415EF" w:rsidP="002F2225">
      <w:pPr>
        <w:autoSpaceDE w:val="0"/>
        <w:autoSpaceDN w:val="0"/>
        <w:adjustRightInd w:val="0"/>
        <w:spacing w:after="120"/>
        <w:rPr>
          <w:rFonts w:ascii="Calibri" w:hAnsi="Calibri"/>
          <w:sz w:val="22"/>
          <w:szCs w:val="22"/>
        </w:rPr>
      </w:pPr>
      <w:r w:rsidRPr="000B3372">
        <w:rPr>
          <w:rFonts w:ascii="Calibri" w:hAnsi="Calibri"/>
          <w:i/>
          <w:sz w:val="22"/>
          <w:szCs w:val="22"/>
        </w:rPr>
        <w:t>Surface Washing Agent Approval Process</w:t>
      </w:r>
      <w:r>
        <w:rPr>
          <w:rFonts w:ascii="Calibri" w:hAnsi="Calibri"/>
          <w:sz w:val="22"/>
          <w:szCs w:val="22"/>
        </w:rPr>
        <w:t xml:space="preserve"> – </w:t>
      </w:r>
      <w:r w:rsidR="004D0F4B" w:rsidRPr="004D0F4B">
        <w:rPr>
          <w:rFonts w:ascii="Calibri" w:hAnsi="Calibri"/>
          <w:i/>
          <w:sz w:val="22"/>
          <w:szCs w:val="22"/>
        </w:rPr>
        <w:t>Develop a clear</w:t>
      </w:r>
      <w:r w:rsidR="004D0F4B">
        <w:rPr>
          <w:rFonts w:ascii="Calibri" w:hAnsi="Calibri"/>
          <w:i/>
          <w:sz w:val="22"/>
          <w:szCs w:val="22"/>
        </w:rPr>
        <w:t>, incident specific</w:t>
      </w:r>
      <w:r w:rsidR="004D0F4B" w:rsidRPr="004D0F4B">
        <w:rPr>
          <w:rFonts w:ascii="Calibri" w:hAnsi="Calibri"/>
          <w:i/>
          <w:sz w:val="22"/>
          <w:szCs w:val="22"/>
        </w:rPr>
        <w:t xml:space="preserve"> process for the RRT to approve or disapprove the application of surface washing agents.</w:t>
      </w:r>
      <w:r w:rsidR="004D0F4B">
        <w:rPr>
          <w:rFonts w:ascii="Calibri" w:hAnsi="Calibri"/>
          <w:sz w:val="22"/>
          <w:szCs w:val="22"/>
        </w:rPr>
        <w:t xml:space="preserve">  </w:t>
      </w:r>
      <w:r>
        <w:rPr>
          <w:rFonts w:ascii="Calibri" w:hAnsi="Calibri"/>
          <w:sz w:val="22"/>
          <w:szCs w:val="22"/>
        </w:rPr>
        <w:t>The NOAA ARTES tool will help the RRT make a case by case determination.  Surface washing agents have a long window of opportunity, making it less critical to have a streamlined decision process.</w:t>
      </w:r>
    </w:p>
    <w:p w:rsidR="00A415EF" w:rsidRDefault="00A415EF" w:rsidP="002F2225">
      <w:pPr>
        <w:autoSpaceDE w:val="0"/>
        <w:autoSpaceDN w:val="0"/>
        <w:adjustRightInd w:val="0"/>
        <w:spacing w:after="120"/>
        <w:rPr>
          <w:rFonts w:ascii="Calibri" w:hAnsi="Calibri"/>
          <w:sz w:val="22"/>
          <w:szCs w:val="22"/>
        </w:rPr>
      </w:pPr>
      <w:r w:rsidRPr="000B3372">
        <w:rPr>
          <w:rFonts w:ascii="Calibri" w:hAnsi="Calibri"/>
          <w:i/>
          <w:sz w:val="22"/>
          <w:szCs w:val="22"/>
        </w:rPr>
        <w:t>Volunteer Task Force</w:t>
      </w:r>
      <w:r>
        <w:rPr>
          <w:rFonts w:ascii="Calibri" w:hAnsi="Calibri"/>
          <w:sz w:val="22"/>
          <w:szCs w:val="22"/>
        </w:rPr>
        <w:t xml:space="preserve"> </w:t>
      </w:r>
      <w:r w:rsidR="00815A5F">
        <w:rPr>
          <w:rFonts w:ascii="Calibri" w:hAnsi="Calibri"/>
          <w:sz w:val="22"/>
          <w:szCs w:val="22"/>
        </w:rPr>
        <w:t>–</w:t>
      </w:r>
      <w:r>
        <w:rPr>
          <w:rFonts w:ascii="Calibri" w:hAnsi="Calibri"/>
          <w:sz w:val="22"/>
          <w:szCs w:val="22"/>
        </w:rPr>
        <w:t xml:space="preserve"> </w:t>
      </w:r>
      <w:r w:rsidR="004D0F4B" w:rsidRPr="004D0F4B">
        <w:rPr>
          <w:rFonts w:ascii="Calibri" w:hAnsi="Calibri"/>
          <w:i/>
          <w:sz w:val="22"/>
          <w:szCs w:val="22"/>
        </w:rPr>
        <w:t>Update Section 4326.</w:t>
      </w:r>
      <w:r w:rsidR="004D0F4B">
        <w:rPr>
          <w:rFonts w:ascii="Calibri" w:hAnsi="Calibri"/>
          <w:sz w:val="22"/>
          <w:szCs w:val="22"/>
        </w:rPr>
        <w:t xml:space="preserve">  </w:t>
      </w:r>
    </w:p>
    <w:p w:rsidR="00815A5F" w:rsidRDefault="00815A5F" w:rsidP="002F2225">
      <w:pPr>
        <w:spacing w:after="120"/>
        <w:rPr>
          <w:rFonts w:ascii="Calibri" w:hAnsi="Calibri"/>
          <w:sz w:val="22"/>
          <w:szCs w:val="22"/>
        </w:rPr>
      </w:pPr>
      <w:r w:rsidRPr="000B3372">
        <w:rPr>
          <w:rFonts w:ascii="Calibri" w:hAnsi="Calibri"/>
          <w:i/>
          <w:sz w:val="22"/>
          <w:szCs w:val="22"/>
        </w:rPr>
        <w:t>Dispersants Literature Review</w:t>
      </w:r>
      <w:r>
        <w:rPr>
          <w:rFonts w:ascii="Calibri" w:hAnsi="Calibri"/>
          <w:sz w:val="22"/>
          <w:szCs w:val="22"/>
        </w:rPr>
        <w:t xml:space="preserve"> </w:t>
      </w:r>
      <w:r w:rsidR="000B3372">
        <w:rPr>
          <w:rFonts w:ascii="Calibri" w:hAnsi="Calibri"/>
          <w:sz w:val="22"/>
          <w:szCs w:val="22"/>
        </w:rPr>
        <w:t>–</w:t>
      </w:r>
      <w:r>
        <w:rPr>
          <w:rFonts w:ascii="Calibri" w:hAnsi="Calibri"/>
          <w:sz w:val="22"/>
          <w:szCs w:val="22"/>
        </w:rPr>
        <w:t xml:space="preserve"> </w:t>
      </w:r>
      <w:r w:rsidR="000B3372">
        <w:rPr>
          <w:rFonts w:ascii="Calibri" w:hAnsi="Calibri"/>
          <w:sz w:val="22"/>
          <w:szCs w:val="22"/>
        </w:rPr>
        <w:t xml:space="preserve">A </w:t>
      </w:r>
      <w:r w:rsidRPr="00815A5F">
        <w:rPr>
          <w:rFonts w:ascii="Calibri" w:hAnsi="Calibri"/>
          <w:sz w:val="22"/>
          <w:szCs w:val="22"/>
        </w:rPr>
        <w:t>comprehensive, vetted, review or overview of all the DWH Dispersant studies by organizations such as NOAA or NRT</w:t>
      </w:r>
      <w:r w:rsidR="000B3372">
        <w:rPr>
          <w:rFonts w:ascii="Calibri" w:hAnsi="Calibri"/>
          <w:sz w:val="22"/>
          <w:szCs w:val="22"/>
        </w:rPr>
        <w:t xml:space="preserve"> is not yet available</w:t>
      </w:r>
      <w:r w:rsidRPr="00815A5F">
        <w:rPr>
          <w:rFonts w:ascii="Calibri" w:hAnsi="Calibri"/>
          <w:sz w:val="22"/>
          <w:szCs w:val="22"/>
        </w:rPr>
        <w:t>. The NWAC needs this to be completed before it can incorporate any of these study results into the NWACP.</w:t>
      </w:r>
      <w:r>
        <w:rPr>
          <w:rFonts w:ascii="Calibri" w:hAnsi="Calibri"/>
          <w:sz w:val="22"/>
          <w:szCs w:val="22"/>
        </w:rPr>
        <w:t xml:space="preserve"> </w:t>
      </w:r>
      <w:r w:rsidRPr="00815A5F">
        <w:rPr>
          <w:rFonts w:ascii="Calibri" w:hAnsi="Calibri"/>
          <w:sz w:val="22"/>
          <w:szCs w:val="22"/>
        </w:rPr>
        <w:t>Recommended from break out group: Add a sentence or two to the NWACP that we are aware of numerous dispersant studies post DWH and that a comprehensive literature available is not yet available. Steering Committee recommends pla</w:t>
      </w:r>
      <w:r w:rsidR="00704DB2">
        <w:rPr>
          <w:rFonts w:ascii="Calibri" w:hAnsi="Calibri"/>
          <w:sz w:val="22"/>
          <w:szCs w:val="22"/>
        </w:rPr>
        <w:t>cement of the statement in a Factsheet rather than the NWACP</w:t>
      </w:r>
      <w:r w:rsidRPr="00815A5F">
        <w:rPr>
          <w:rFonts w:ascii="Calibri" w:hAnsi="Calibri"/>
          <w:sz w:val="22"/>
          <w:szCs w:val="22"/>
        </w:rPr>
        <w:t>.</w:t>
      </w:r>
      <w:r>
        <w:rPr>
          <w:rFonts w:ascii="Calibri" w:hAnsi="Calibri"/>
          <w:sz w:val="22"/>
          <w:szCs w:val="22"/>
        </w:rPr>
        <w:t xml:space="preserve">  </w:t>
      </w:r>
    </w:p>
    <w:p w:rsidR="00653595" w:rsidRDefault="00815A5F" w:rsidP="00653595">
      <w:pPr>
        <w:spacing w:after="120"/>
        <w:rPr>
          <w:rFonts w:ascii="Times New Roman" w:hAnsi="Times New Roman"/>
          <w:color w:val="000000"/>
          <w:sz w:val="20"/>
        </w:rPr>
      </w:pPr>
      <w:r w:rsidRPr="000B3372">
        <w:rPr>
          <w:rFonts w:ascii="Calibri" w:hAnsi="Calibri"/>
          <w:i/>
          <w:sz w:val="22"/>
          <w:szCs w:val="22"/>
        </w:rPr>
        <w:t>Transboundary</w:t>
      </w:r>
      <w:r>
        <w:rPr>
          <w:rFonts w:ascii="Calibri" w:hAnsi="Calibri"/>
          <w:sz w:val="22"/>
          <w:szCs w:val="22"/>
        </w:rPr>
        <w:t xml:space="preserve"> - </w:t>
      </w:r>
      <w:r w:rsidRPr="004D0F4B">
        <w:rPr>
          <w:rFonts w:ascii="Calibri" w:hAnsi="Calibri"/>
          <w:i/>
          <w:sz w:val="22"/>
          <w:szCs w:val="22"/>
        </w:rPr>
        <w:t>Clarify transboundary response issues and readiness. Identify if the NWACP adequately addresses concerns and issues.</w:t>
      </w:r>
      <w:r w:rsidRPr="00815A5F">
        <w:rPr>
          <w:rFonts w:ascii="Calibri" w:hAnsi="Calibri"/>
          <w:sz w:val="22"/>
          <w:szCs w:val="22"/>
        </w:rPr>
        <w:t xml:space="preserve"> </w:t>
      </w:r>
      <w:r w:rsidR="000B3372">
        <w:rPr>
          <w:rFonts w:ascii="Calibri" w:hAnsi="Calibri"/>
          <w:sz w:val="22"/>
          <w:szCs w:val="22"/>
        </w:rPr>
        <w:t xml:space="preserve"> </w:t>
      </w:r>
      <w:r w:rsidRPr="00815A5F">
        <w:rPr>
          <w:rFonts w:ascii="Calibri" w:hAnsi="Calibri"/>
          <w:sz w:val="22"/>
          <w:szCs w:val="22"/>
        </w:rPr>
        <w:t>Suggestion</w:t>
      </w:r>
      <w:r w:rsidR="00086347">
        <w:rPr>
          <w:rFonts w:ascii="Calibri" w:hAnsi="Calibri"/>
          <w:sz w:val="22"/>
          <w:szCs w:val="22"/>
        </w:rPr>
        <w:t>s</w:t>
      </w:r>
      <w:r w:rsidRPr="00815A5F">
        <w:rPr>
          <w:rFonts w:ascii="Calibri" w:hAnsi="Calibri"/>
          <w:sz w:val="22"/>
          <w:szCs w:val="22"/>
        </w:rPr>
        <w:t xml:space="preserve"> f</w:t>
      </w:r>
      <w:r w:rsidR="00086347">
        <w:rPr>
          <w:rFonts w:ascii="Calibri" w:hAnsi="Calibri"/>
          <w:sz w:val="22"/>
          <w:szCs w:val="22"/>
        </w:rPr>
        <w:t>rom Break out group participants included: p</w:t>
      </w:r>
      <w:r w:rsidRPr="00815A5F">
        <w:rPr>
          <w:rFonts w:ascii="Calibri" w:hAnsi="Calibri"/>
          <w:sz w:val="22"/>
          <w:szCs w:val="22"/>
        </w:rPr>
        <w:t>rovide 3 annual u</w:t>
      </w:r>
      <w:r w:rsidR="00086347">
        <w:rPr>
          <w:rFonts w:ascii="Calibri" w:hAnsi="Calibri"/>
          <w:sz w:val="22"/>
          <w:szCs w:val="22"/>
        </w:rPr>
        <w:t>pdates; and, m</w:t>
      </w:r>
      <w:r w:rsidRPr="00815A5F">
        <w:rPr>
          <w:rFonts w:ascii="Calibri" w:hAnsi="Calibri"/>
          <w:sz w:val="22"/>
          <w:szCs w:val="22"/>
        </w:rPr>
        <w:t xml:space="preserve">ake process permanent via group. </w:t>
      </w:r>
      <w:r w:rsidR="00086347">
        <w:rPr>
          <w:rFonts w:ascii="Calibri" w:hAnsi="Calibri"/>
          <w:sz w:val="22"/>
          <w:szCs w:val="22"/>
        </w:rPr>
        <w:t>N</w:t>
      </w:r>
      <w:r w:rsidRPr="00815A5F">
        <w:rPr>
          <w:rFonts w:ascii="Calibri" w:hAnsi="Calibri"/>
          <w:sz w:val="22"/>
          <w:szCs w:val="22"/>
        </w:rPr>
        <w:t xml:space="preserve">o consensus </w:t>
      </w:r>
      <w:r w:rsidR="00086347">
        <w:rPr>
          <w:rFonts w:ascii="Calibri" w:hAnsi="Calibri"/>
          <w:sz w:val="22"/>
          <w:szCs w:val="22"/>
        </w:rPr>
        <w:t xml:space="preserve">was </w:t>
      </w:r>
      <w:r w:rsidRPr="00815A5F">
        <w:rPr>
          <w:rFonts w:ascii="Calibri" w:hAnsi="Calibri"/>
          <w:sz w:val="22"/>
          <w:szCs w:val="22"/>
        </w:rPr>
        <w:t>achieved for these suggestions.</w:t>
      </w:r>
      <w:r w:rsidR="000B3372">
        <w:rPr>
          <w:rFonts w:ascii="Calibri" w:hAnsi="Calibri"/>
          <w:sz w:val="22"/>
          <w:szCs w:val="22"/>
        </w:rPr>
        <w:t xml:space="preserve">  </w:t>
      </w:r>
      <w:r w:rsidR="00086347">
        <w:rPr>
          <w:rFonts w:ascii="Calibri" w:hAnsi="Calibri"/>
          <w:sz w:val="22"/>
          <w:szCs w:val="22"/>
        </w:rPr>
        <w:t>T</w:t>
      </w:r>
      <w:r w:rsidRPr="00815A5F">
        <w:rPr>
          <w:rFonts w:ascii="Calibri" w:hAnsi="Calibri"/>
          <w:sz w:val="22"/>
          <w:szCs w:val="22"/>
        </w:rPr>
        <w:t xml:space="preserve">his product was determined to be outside </w:t>
      </w:r>
      <w:r w:rsidR="000B3372">
        <w:rPr>
          <w:rFonts w:ascii="Calibri" w:hAnsi="Calibri"/>
          <w:sz w:val="22"/>
          <w:szCs w:val="22"/>
        </w:rPr>
        <w:t xml:space="preserve">NW </w:t>
      </w:r>
      <w:r w:rsidRPr="00815A5F">
        <w:rPr>
          <w:rFonts w:ascii="Calibri" w:hAnsi="Calibri"/>
          <w:sz w:val="22"/>
          <w:szCs w:val="22"/>
        </w:rPr>
        <w:t>Area Committee work</w:t>
      </w:r>
      <w:r w:rsidR="00086347">
        <w:rPr>
          <w:rFonts w:ascii="Calibri" w:hAnsi="Calibri"/>
          <w:sz w:val="22"/>
          <w:szCs w:val="22"/>
        </w:rPr>
        <w:t xml:space="preserve"> because t</w:t>
      </w:r>
      <w:r w:rsidR="000B3372">
        <w:rPr>
          <w:rFonts w:ascii="Calibri" w:hAnsi="Calibri"/>
          <w:sz w:val="22"/>
          <w:szCs w:val="22"/>
        </w:rPr>
        <w:t xml:space="preserve">ransboundary response issues are handled by the Joint Response Team under the </w:t>
      </w:r>
      <w:proofErr w:type="spellStart"/>
      <w:r w:rsidR="000B3372">
        <w:rPr>
          <w:rFonts w:ascii="Calibri" w:hAnsi="Calibri"/>
          <w:sz w:val="22"/>
          <w:szCs w:val="22"/>
        </w:rPr>
        <w:t>CANUSPac</w:t>
      </w:r>
      <w:proofErr w:type="spellEnd"/>
      <w:r w:rsidR="000B3372">
        <w:rPr>
          <w:rFonts w:ascii="Calibri" w:hAnsi="Calibri"/>
          <w:sz w:val="22"/>
          <w:szCs w:val="22"/>
        </w:rPr>
        <w:t xml:space="preserve"> and </w:t>
      </w:r>
      <w:proofErr w:type="spellStart"/>
      <w:r w:rsidR="000B3372">
        <w:rPr>
          <w:rFonts w:ascii="Calibri" w:hAnsi="Calibri"/>
          <w:sz w:val="22"/>
          <w:szCs w:val="22"/>
        </w:rPr>
        <w:t>CANUSWest</w:t>
      </w:r>
      <w:proofErr w:type="spellEnd"/>
      <w:r w:rsidR="000B3372">
        <w:rPr>
          <w:rFonts w:ascii="Calibri" w:hAnsi="Calibri"/>
          <w:sz w:val="22"/>
          <w:szCs w:val="22"/>
        </w:rPr>
        <w:t xml:space="preserve"> Annex plans.  It was taken as </w:t>
      </w:r>
      <w:r w:rsidR="00086347">
        <w:rPr>
          <w:rFonts w:ascii="Calibri" w:hAnsi="Calibri"/>
          <w:sz w:val="22"/>
          <w:szCs w:val="22"/>
        </w:rPr>
        <w:t>an action to better explain the</w:t>
      </w:r>
      <w:r w:rsidR="000B3372">
        <w:rPr>
          <w:rFonts w:ascii="Calibri" w:hAnsi="Calibri"/>
          <w:sz w:val="22"/>
          <w:szCs w:val="22"/>
        </w:rPr>
        <w:t xml:space="preserve"> </w:t>
      </w:r>
      <w:r w:rsidR="00086347">
        <w:rPr>
          <w:rFonts w:ascii="Calibri" w:hAnsi="Calibri"/>
          <w:sz w:val="22"/>
          <w:szCs w:val="22"/>
        </w:rPr>
        <w:t xml:space="preserve">transboundary </w:t>
      </w:r>
      <w:r w:rsidR="000B3372">
        <w:rPr>
          <w:rFonts w:ascii="Calibri" w:hAnsi="Calibri"/>
          <w:sz w:val="22"/>
          <w:szCs w:val="22"/>
        </w:rPr>
        <w:t xml:space="preserve">response planning </w:t>
      </w:r>
      <w:r w:rsidR="00086347">
        <w:rPr>
          <w:rFonts w:ascii="Calibri" w:hAnsi="Calibri"/>
          <w:sz w:val="22"/>
          <w:szCs w:val="22"/>
        </w:rPr>
        <w:t>structure</w:t>
      </w:r>
      <w:r w:rsidR="000B3372">
        <w:rPr>
          <w:rFonts w:ascii="Calibri" w:hAnsi="Calibri"/>
          <w:sz w:val="22"/>
          <w:szCs w:val="22"/>
        </w:rPr>
        <w:t xml:space="preserve"> within the NWACP.</w:t>
      </w:r>
    </w:p>
    <w:p w:rsidR="00653595" w:rsidRPr="00653595" w:rsidRDefault="00653595" w:rsidP="00653595">
      <w:pPr>
        <w:spacing w:after="120"/>
        <w:rPr>
          <w:rFonts w:ascii="Calibri" w:hAnsi="Calibri"/>
          <w:sz w:val="22"/>
          <w:szCs w:val="22"/>
        </w:rPr>
      </w:pPr>
      <w:r w:rsidRPr="00653595">
        <w:rPr>
          <w:rFonts w:ascii="Calibri" w:hAnsi="Calibri"/>
          <w:sz w:val="22"/>
          <w:szCs w:val="22"/>
        </w:rPr>
        <w:t>Thank you again to everyone who participated in the 2015 NWACP Summit.</w:t>
      </w:r>
      <w:r>
        <w:rPr>
          <w:rFonts w:ascii="Calibri" w:hAnsi="Calibri"/>
          <w:sz w:val="22"/>
          <w:szCs w:val="22"/>
        </w:rPr>
        <w:t xml:space="preserve">  We are looking forward to another productive year.  Please remember to register for a task force!</w:t>
      </w:r>
    </w:p>
    <w:p w:rsidR="003C573C" w:rsidRDefault="003C573C" w:rsidP="002F2225">
      <w:pPr>
        <w:autoSpaceDE w:val="0"/>
        <w:autoSpaceDN w:val="0"/>
        <w:adjustRightInd w:val="0"/>
        <w:spacing w:after="120"/>
        <w:rPr>
          <w:rFonts w:ascii="Calibri" w:hAnsi="Calibri"/>
          <w:sz w:val="22"/>
          <w:szCs w:val="22"/>
        </w:rPr>
      </w:pPr>
    </w:p>
    <w:p w:rsidR="002714B6" w:rsidRPr="00D1678B" w:rsidRDefault="002714B6" w:rsidP="002F2225">
      <w:pPr>
        <w:autoSpaceDE w:val="0"/>
        <w:autoSpaceDN w:val="0"/>
        <w:adjustRightInd w:val="0"/>
        <w:spacing w:after="120"/>
        <w:rPr>
          <w:rFonts w:ascii="Calibri" w:hAnsi="Calibri"/>
          <w:sz w:val="22"/>
          <w:szCs w:val="22"/>
        </w:rPr>
      </w:pPr>
      <w:r w:rsidRPr="00D1678B">
        <w:rPr>
          <w:rFonts w:ascii="Calibri" w:hAnsi="Calibri"/>
          <w:sz w:val="22"/>
          <w:szCs w:val="22"/>
        </w:rPr>
        <w:t>Sincerely,</w:t>
      </w:r>
    </w:p>
    <w:p w:rsidR="003C573C" w:rsidRDefault="003C573C" w:rsidP="002F2225">
      <w:pPr>
        <w:autoSpaceDE w:val="0"/>
        <w:autoSpaceDN w:val="0"/>
        <w:adjustRightInd w:val="0"/>
        <w:spacing w:after="120"/>
        <w:rPr>
          <w:rFonts w:ascii="Calibri" w:hAnsi="Calibri"/>
          <w:sz w:val="22"/>
          <w:szCs w:val="22"/>
        </w:rPr>
      </w:pPr>
    </w:p>
    <w:p w:rsidR="00551EE4" w:rsidRPr="00006038" w:rsidRDefault="00551EE4" w:rsidP="002F2225">
      <w:pPr>
        <w:autoSpaceDE w:val="0"/>
        <w:autoSpaceDN w:val="0"/>
        <w:adjustRightInd w:val="0"/>
        <w:spacing w:after="120"/>
        <w:rPr>
          <w:rFonts w:ascii="Calibri" w:hAnsi="Calibri"/>
          <w:b/>
          <w:i/>
          <w:sz w:val="22"/>
          <w:szCs w:val="22"/>
        </w:rPr>
      </w:pPr>
      <w:r w:rsidRPr="00006038">
        <w:rPr>
          <w:rFonts w:ascii="Calibri" w:hAnsi="Calibri"/>
          <w:b/>
          <w:i/>
          <w:sz w:val="22"/>
          <w:szCs w:val="22"/>
        </w:rPr>
        <w:t>NW Area Committee Leadership</w:t>
      </w:r>
    </w:p>
    <w:tbl>
      <w:tblPr>
        <w:tblpPr w:leftFromText="180" w:rightFromText="180" w:vertAnchor="page" w:horzAnchor="margin" w:tblpY="11691"/>
        <w:tblW w:w="0" w:type="auto"/>
        <w:tblLook w:val="04A0" w:firstRow="1" w:lastRow="0" w:firstColumn="1" w:lastColumn="0" w:noHBand="0" w:noVBand="1"/>
      </w:tblPr>
      <w:tblGrid>
        <w:gridCol w:w="3258"/>
        <w:gridCol w:w="5598"/>
      </w:tblGrid>
      <w:tr w:rsidR="00653595" w:rsidRPr="003C573C" w:rsidTr="00653595">
        <w:tc>
          <w:tcPr>
            <w:tcW w:w="3258" w:type="dxa"/>
            <w:shd w:val="clear" w:color="auto" w:fill="auto"/>
          </w:tcPr>
          <w:p w:rsidR="00653595" w:rsidRPr="003C573C" w:rsidRDefault="00653595" w:rsidP="00653595">
            <w:pPr>
              <w:autoSpaceDE w:val="0"/>
              <w:autoSpaceDN w:val="0"/>
              <w:adjustRightInd w:val="0"/>
              <w:spacing w:after="120"/>
              <w:rPr>
                <w:rFonts w:ascii="Calibri" w:hAnsi="Calibri"/>
                <w:i/>
              </w:rPr>
            </w:pPr>
            <w:r w:rsidRPr="003C573C">
              <w:rPr>
                <w:rFonts w:ascii="Calibri" w:hAnsi="Calibri"/>
                <w:i/>
                <w:sz w:val="22"/>
                <w:szCs w:val="22"/>
              </w:rPr>
              <w:t xml:space="preserve">Dale Jensen, WA Ecology </w:t>
            </w:r>
          </w:p>
        </w:tc>
        <w:tc>
          <w:tcPr>
            <w:tcW w:w="5598" w:type="dxa"/>
            <w:shd w:val="clear" w:color="auto" w:fill="auto"/>
          </w:tcPr>
          <w:p w:rsidR="00653595" w:rsidRPr="003C573C" w:rsidRDefault="00653595" w:rsidP="00653595">
            <w:pPr>
              <w:autoSpaceDE w:val="0"/>
              <w:autoSpaceDN w:val="0"/>
              <w:adjustRightInd w:val="0"/>
              <w:spacing w:after="120"/>
              <w:rPr>
                <w:rFonts w:ascii="Calibri" w:hAnsi="Calibri"/>
                <w:i/>
              </w:rPr>
            </w:pPr>
            <w:r w:rsidRPr="003C573C">
              <w:rPr>
                <w:rFonts w:ascii="Calibri" w:hAnsi="Calibri"/>
                <w:i/>
                <w:sz w:val="22"/>
                <w:szCs w:val="22"/>
              </w:rPr>
              <w:t>Captain Travers, USCG Sector Columbia River</w:t>
            </w:r>
          </w:p>
        </w:tc>
      </w:tr>
      <w:tr w:rsidR="00653595" w:rsidRPr="003C573C" w:rsidTr="00653595">
        <w:tc>
          <w:tcPr>
            <w:tcW w:w="3258" w:type="dxa"/>
            <w:shd w:val="clear" w:color="auto" w:fill="auto"/>
          </w:tcPr>
          <w:p w:rsidR="00653595" w:rsidRPr="003C573C" w:rsidRDefault="00653595" w:rsidP="00653595">
            <w:pPr>
              <w:rPr>
                <w:i/>
              </w:rPr>
            </w:pPr>
            <w:r w:rsidRPr="003C573C">
              <w:rPr>
                <w:rFonts w:ascii="Calibri" w:hAnsi="Calibri"/>
                <w:i/>
                <w:sz w:val="22"/>
                <w:szCs w:val="22"/>
              </w:rPr>
              <w:t xml:space="preserve">Jeff Rylee, ID BHS </w:t>
            </w:r>
          </w:p>
        </w:tc>
        <w:tc>
          <w:tcPr>
            <w:tcW w:w="5598" w:type="dxa"/>
            <w:shd w:val="clear" w:color="auto" w:fill="auto"/>
          </w:tcPr>
          <w:p w:rsidR="00653595" w:rsidRPr="003C573C" w:rsidRDefault="00653595" w:rsidP="00653595">
            <w:pPr>
              <w:autoSpaceDE w:val="0"/>
              <w:autoSpaceDN w:val="0"/>
              <w:adjustRightInd w:val="0"/>
              <w:spacing w:after="120"/>
              <w:rPr>
                <w:rFonts w:ascii="Calibri" w:hAnsi="Calibri"/>
                <w:i/>
              </w:rPr>
            </w:pPr>
            <w:r w:rsidRPr="003C573C">
              <w:rPr>
                <w:rFonts w:ascii="Calibri" w:hAnsi="Calibri"/>
                <w:i/>
                <w:sz w:val="22"/>
                <w:szCs w:val="22"/>
              </w:rPr>
              <w:t>Captain Raymond, USCG Sector Puget Sound</w:t>
            </w:r>
          </w:p>
        </w:tc>
      </w:tr>
      <w:tr w:rsidR="00653595" w:rsidRPr="003C573C" w:rsidTr="00653595">
        <w:tc>
          <w:tcPr>
            <w:tcW w:w="3258" w:type="dxa"/>
            <w:shd w:val="clear" w:color="auto" w:fill="auto"/>
          </w:tcPr>
          <w:p w:rsidR="00653595" w:rsidRPr="003C573C" w:rsidRDefault="00653595" w:rsidP="00653595">
            <w:pPr>
              <w:autoSpaceDE w:val="0"/>
              <w:autoSpaceDN w:val="0"/>
              <w:adjustRightInd w:val="0"/>
              <w:spacing w:after="120"/>
              <w:rPr>
                <w:rFonts w:ascii="Calibri" w:hAnsi="Calibri"/>
                <w:i/>
                <w:sz w:val="22"/>
                <w:szCs w:val="22"/>
              </w:rPr>
            </w:pPr>
            <w:r w:rsidRPr="003C573C">
              <w:rPr>
                <w:rFonts w:ascii="Calibri" w:hAnsi="Calibri"/>
                <w:i/>
                <w:sz w:val="22"/>
                <w:szCs w:val="22"/>
              </w:rPr>
              <w:t xml:space="preserve">Bruce Gilles, OR DEQ </w:t>
            </w:r>
          </w:p>
        </w:tc>
        <w:tc>
          <w:tcPr>
            <w:tcW w:w="5598" w:type="dxa"/>
            <w:shd w:val="clear" w:color="auto" w:fill="auto"/>
          </w:tcPr>
          <w:p w:rsidR="00653595" w:rsidRPr="003C573C" w:rsidRDefault="00653595" w:rsidP="00653595">
            <w:pPr>
              <w:autoSpaceDE w:val="0"/>
              <w:autoSpaceDN w:val="0"/>
              <w:adjustRightInd w:val="0"/>
              <w:spacing w:after="120"/>
              <w:rPr>
                <w:rFonts w:ascii="Calibri" w:hAnsi="Calibri"/>
                <w:i/>
              </w:rPr>
            </w:pPr>
            <w:r w:rsidRPr="003C573C">
              <w:rPr>
                <w:rFonts w:ascii="Calibri" w:hAnsi="Calibri"/>
                <w:i/>
                <w:sz w:val="22"/>
                <w:szCs w:val="22"/>
              </w:rPr>
              <w:t>Calvin Terada, EPA R10</w:t>
            </w:r>
          </w:p>
        </w:tc>
      </w:tr>
    </w:tbl>
    <w:p w:rsidR="003C573C" w:rsidRDefault="00551EE4" w:rsidP="002F2225">
      <w:pPr>
        <w:autoSpaceDE w:val="0"/>
        <w:autoSpaceDN w:val="0"/>
        <w:adjustRightInd w:val="0"/>
        <w:spacing w:after="120"/>
        <w:rPr>
          <w:rFonts w:ascii="Calibri" w:hAnsi="Calibri"/>
          <w:sz w:val="22"/>
          <w:szCs w:val="22"/>
        </w:rPr>
      </w:pPr>
      <w:r>
        <w:rPr>
          <w:rFonts w:ascii="Calibri" w:hAnsi="Calibri"/>
          <w:sz w:val="22"/>
          <w:szCs w:val="22"/>
        </w:rPr>
        <w:t xml:space="preserve"> </w:t>
      </w:r>
    </w:p>
    <w:p w:rsidR="003C573C" w:rsidRDefault="003C573C" w:rsidP="003C573C">
      <w:pPr>
        <w:autoSpaceDE w:val="0"/>
        <w:autoSpaceDN w:val="0"/>
        <w:adjustRightInd w:val="0"/>
        <w:spacing w:after="120"/>
        <w:rPr>
          <w:rFonts w:ascii="Calibri" w:hAnsi="Calibri"/>
          <w:sz w:val="22"/>
          <w:szCs w:val="22"/>
        </w:rPr>
      </w:pPr>
    </w:p>
    <w:sectPr w:rsidR="003C573C">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BF3471" w:rsidRDefault="00BF3471" w:rsidP="003C573C">
      <w:r>
        <w:separator/>
      </w:r>
    </w:p>
  </w:endnote>
  <w:endnote w:type="continuationSeparator" w:id="0">
    <w:p w:rsidR="00BF3471" w:rsidRDefault="00BF3471" w:rsidP="003C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3C" w:rsidRDefault="003C573C">
    <w:pPr>
      <w:pStyle w:val="Footer"/>
      <w:jc w:val="right"/>
    </w:pPr>
    <w:r>
      <w:t xml:space="preserve">Page | </w:t>
    </w:r>
    <w:r>
      <w:fldChar w:fldCharType="begin"/>
    </w:r>
    <w:r>
      <w:instrText xml:space="preserve"> PAGE   \* MERGEFORMAT </w:instrText>
    </w:r>
    <w:r>
      <w:fldChar w:fldCharType="separate"/>
    </w:r>
    <w:r w:rsidR="007E4364">
      <w:rPr>
        <w:noProof/>
      </w:rPr>
      <w:t>1</w:t>
    </w:r>
    <w:r>
      <w:rPr>
        <w:noProof/>
      </w:rPr>
      <w:fldChar w:fldCharType="end"/>
    </w:r>
    <w:r>
      <w:t xml:space="preserve"> </w:t>
    </w:r>
  </w:p>
  <w:p w:rsidR="003C573C" w:rsidRDefault="003C57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BF3471" w:rsidRDefault="00BF3471" w:rsidP="003C573C">
      <w:r>
        <w:separator/>
      </w:r>
    </w:p>
  </w:footnote>
  <w:footnote w:type="continuationSeparator" w:id="0">
    <w:p w:rsidR="00BF3471" w:rsidRDefault="00BF3471" w:rsidP="003C5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01"/>
    <w:rsid w:val="000006E5"/>
    <w:rsid w:val="00006038"/>
    <w:rsid w:val="00044E27"/>
    <w:rsid w:val="00084B83"/>
    <w:rsid w:val="00086347"/>
    <w:rsid w:val="000B3372"/>
    <w:rsid w:val="000D7B2D"/>
    <w:rsid w:val="00113849"/>
    <w:rsid w:val="001632C7"/>
    <w:rsid w:val="002201C2"/>
    <w:rsid w:val="002650E4"/>
    <w:rsid w:val="002714B6"/>
    <w:rsid w:val="002F2225"/>
    <w:rsid w:val="003C573C"/>
    <w:rsid w:val="00443559"/>
    <w:rsid w:val="00491A61"/>
    <w:rsid w:val="004D0F4B"/>
    <w:rsid w:val="004F247A"/>
    <w:rsid w:val="00551EE4"/>
    <w:rsid w:val="005A5F14"/>
    <w:rsid w:val="0062105E"/>
    <w:rsid w:val="00653595"/>
    <w:rsid w:val="006C4105"/>
    <w:rsid w:val="00704DB2"/>
    <w:rsid w:val="00744325"/>
    <w:rsid w:val="00762151"/>
    <w:rsid w:val="00786885"/>
    <w:rsid w:val="007E4364"/>
    <w:rsid w:val="00815A5F"/>
    <w:rsid w:val="00864E44"/>
    <w:rsid w:val="00890203"/>
    <w:rsid w:val="008F0907"/>
    <w:rsid w:val="00945EE8"/>
    <w:rsid w:val="009D0513"/>
    <w:rsid w:val="00A14F3C"/>
    <w:rsid w:val="00A415EF"/>
    <w:rsid w:val="00A9149C"/>
    <w:rsid w:val="00B2058D"/>
    <w:rsid w:val="00B70201"/>
    <w:rsid w:val="00BF3471"/>
    <w:rsid w:val="00CA3230"/>
    <w:rsid w:val="00D017A8"/>
    <w:rsid w:val="00D1678B"/>
    <w:rsid w:val="00E30AF1"/>
    <w:rsid w:val="00E92825"/>
    <w:rsid w:val="00F4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30AF1"/>
    <w:rPr>
      <w:rFonts w:ascii="Tahoma" w:hAnsi="Tahoma" w:cs="Tahoma"/>
      <w:sz w:val="16"/>
      <w:szCs w:val="16"/>
    </w:rPr>
  </w:style>
  <w:style w:type="table" w:styleId="TableGrid">
    <w:name w:val="Table Grid"/>
    <w:basedOn w:val="TableNormal"/>
    <w:rsid w:val="00762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650E4"/>
    <w:rPr>
      <w:rFonts w:ascii="Calibri" w:hAnsi="Calibri" w:cs="Consolas"/>
      <w:sz w:val="22"/>
      <w:szCs w:val="21"/>
    </w:rPr>
  </w:style>
  <w:style w:type="character" w:customStyle="1" w:styleId="PlainTextChar">
    <w:name w:val="Plain Text Char"/>
    <w:link w:val="PlainText"/>
    <w:uiPriority w:val="99"/>
    <w:rsid w:val="002650E4"/>
    <w:rPr>
      <w:rFonts w:ascii="Calibri" w:hAnsi="Calibri" w:cs="Consolas"/>
      <w:sz w:val="22"/>
      <w:szCs w:val="21"/>
    </w:rPr>
  </w:style>
  <w:style w:type="paragraph" w:styleId="Header">
    <w:name w:val="header"/>
    <w:basedOn w:val="Normal"/>
    <w:link w:val="HeaderChar"/>
    <w:rsid w:val="003C573C"/>
    <w:pPr>
      <w:tabs>
        <w:tab w:val="center" w:pos="4680"/>
        <w:tab w:val="right" w:pos="9360"/>
      </w:tabs>
    </w:pPr>
  </w:style>
  <w:style w:type="character" w:customStyle="1" w:styleId="HeaderChar">
    <w:name w:val="Header Char"/>
    <w:link w:val="Header"/>
    <w:rsid w:val="003C573C"/>
    <w:rPr>
      <w:rFonts w:ascii="Arial" w:hAnsi="Arial"/>
      <w:sz w:val="24"/>
    </w:rPr>
  </w:style>
  <w:style w:type="paragraph" w:styleId="Footer">
    <w:name w:val="footer"/>
    <w:basedOn w:val="Normal"/>
    <w:link w:val="FooterChar"/>
    <w:uiPriority w:val="99"/>
    <w:rsid w:val="003C573C"/>
    <w:pPr>
      <w:tabs>
        <w:tab w:val="center" w:pos="4680"/>
        <w:tab w:val="right" w:pos="9360"/>
      </w:tabs>
    </w:pPr>
  </w:style>
  <w:style w:type="character" w:customStyle="1" w:styleId="FooterChar">
    <w:name w:val="Footer Char"/>
    <w:link w:val="Footer"/>
    <w:uiPriority w:val="99"/>
    <w:rsid w:val="003C573C"/>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30AF1"/>
    <w:rPr>
      <w:rFonts w:ascii="Tahoma" w:hAnsi="Tahoma" w:cs="Tahoma"/>
      <w:sz w:val="16"/>
      <w:szCs w:val="16"/>
    </w:rPr>
  </w:style>
  <w:style w:type="table" w:styleId="TableGrid">
    <w:name w:val="Table Grid"/>
    <w:basedOn w:val="TableNormal"/>
    <w:rsid w:val="00762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650E4"/>
    <w:rPr>
      <w:rFonts w:ascii="Calibri" w:hAnsi="Calibri" w:cs="Consolas"/>
      <w:sz w:val="22"/>
      <w:szCs w:val="21"/>
    </w:rPr>
  </w:style>
  <w:style w:type="character" w:customStyle="1" w:styleId="PlainTextChar">
    <w:name w:val="Plain Text Char"/>
    <w:link w:val="PlainText"/>
    <w:uiPriority w:val="99"/>
    <w:rsid w:val="002650E4"/>
    <w:rPr>
      <w:rFonts w:ascii="Calibri" w:hAnsi="Calibri" w:cs="Consolas"/>
      <w:sz w:val="22"/>
      <w:szCs w:val="21"/>
    </w:rPr>
  </w:style>
  <w:style w:type="paragraph" w:styleId="Header">
    <w:name w:val="header"/>
    <w:basedOn w:val="Normal"/>
    <w:link w:val="HeaderChar"/>
    <w:rsid w:val="003C573C"/>
    <w:pPr>
      <w:tabs>
        <w:tab w:val="center" w:pos="4680"/>
        <w:tab w:val="right" w:pos="9360"/>
      </w:tabs>
    </w:pPr>
  </w:style>
  <w:style w:type="character" w:customStyle="1" w:styleId="HeaderChar">
    <w:name w:val="Header Char"/>
    <w:link w:val="Header"/>
    <w:rsid w:val="003C573C"/>
    <w:rPr>
      <w:rFonts w:ascii="Arial" w:hAnsi="Arial"/>
      <w:sz w:val="24"/>
    </w:rPr>
  </w:style>
  <w:style w:type="paragraph" w:styleId="Footer">
    <w:name w:val="footer"/>
    <w:basedOn w:val="Normal"/>
    <w:link w:val="FooterChar"/>
    <w:uiPriority w:val="99"/>
    <w:rsid w:val="003C573C"/>
    <w:pPr>
      <w:tabs>
        <w:tab w:val="center" w:pos="4680"/>
        <w:tab w:val="right" w:pos="9360"/>
      </w:tabs>
    </w:pPr>
  </w:style>
  <w:style w:type="character" w:customStyle="1" w:styleId="FooterChar">
    <w:name w:val="Footer Char"/>
    <w:link w:val="Footer"/>
    <w:uiPriority w:val="99"/>
    <w:rsid w:val="003C573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37769">
      <w:bodyDiv w:val="1"/>
      <w:marLeft w:val="0"/>
      <w:marRight w:val="0"/>
      <w:marTop w:val="0"/>
      <w:marBottom w:val="0"/>
      <w:divBdr>
        <w:top w:val="none" w:sz="0" w:space="0" w:color="auto"/>
        <w:left w:val="none" w:sz="0" w:space="0" w:color="auto"/>
        <w:bottom w:val="none" w:sz="0" w:space="0" w:color="auto"/>
        <w:right w:val="none" w:sz="0" w:space="0" w:color="auto"/>
      </w:divBdr>
    </w:div>
    <w:div w:id="970095508">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
    <w:div w:id="1076395924">
      <w:bodyDiv w:val="1"/>
      <w:marLeft w:val="0"/>
      <w:marRight w:val="0"/>
      <w:marTop w:val="0"/>
      <w:marBottom w:val="0"/>
      <w:divBdr>
        <w:top w:val="none" w:sz="0" w:space="0" w:color="auto"/>
        <w:left w:val="none" w:sz="0" w:space="0" w:color="auto"/>
        <w:bottom w:val="none" w:sz="0" w:space="0" w:color="auto"/>
        <w:right w:val="none" w:sz="0" w:space="0" w:color="auto"/>
      </w:divBdr>
    </w:div>
    <w:div w:id="1561212816">
      <w:bodyDiv w:val="1"/>
      <w:marLeft w:val="0"/>
      <w:marRight w:val="0"/>
      <w:marTop w:val="0"/>
      <w:marBottom w:val="0"/>
      <w:divBdr>
        <w:top w:val="none" w:sz="0" w:space="0" w:color="auto"/>
        <w:left w:val="none" w:sz="0" w:space="0" w:color="auto"/>
        <w:bottom w:val="none" w:sz="0" w:space="0" w:color="auto"/>
        <w:right w:val="none" w:sz="0" w:space="0" w:color="auto"/>
      </w:divBdr>
    </w:div>
    <w:div w:id="19276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yperlink" Target="http://www.rrt10nwac.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letter is being sent to you with to invite you to become a new member of the Regional Response Team (RRT) and the Northwe</vt:lpstr>
    </vt:vector>
  </TitlesOfParts>
  <Company>United States Coast Guard</Company>
  <LinksUpToDate>false</LinksUpToDate>
  <CharactersWithSpaces>7721</CharactersWithSpaces>
  <SharedDoc>false</SharedDoc>
  <HLinks>
    <vt:vector size="6" baseType="variant">
      <vt:variant>
        <vt:i4>458845</vt:i4>
      </vt:variant>
      <vt:variant>
        <vt:i4>0</vt:i4>
      </vt:variant>
      <vt:variant>
        <vt:i4>0</vt:i4>
      </vt:variant>
      <vt:variant>
        <vt:i4>5</vt:i4>
      </vt:variant>
      <vt:variant>
        <vt:lpwstr>http://www.rrt10nwac.com/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letter is being sent to you with to invite you to become a new member of the Regional Response Team (RRT) and the Northwe</dc:title>
  <dc:subject/>
  <dc:creator>MBernard</dc:creator>
  <cp:keywords/>
  <dc:description/>
  <cp:lastModifiedBy>Neel Blair</cp:lastModifiedBy>
  <cp:revision>2</cp:revision>
  <cp:lastPrinted>2016-01-08T22:01:00Z</cp:lastPrinted>
  <dcterms:created xsi:type="dcterms:W3CDTF">2016-01-11T05:49:00Z</dcterms:created>
  <dcterms:modified xsi:type="dcterms:W3CDTF">2016-01-11T05:49:00Z</dcterms:modified>
</cp:coreProperties>
</file>